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7198.xml.htm"/>
      <w:bookmarkStart w:id="1" w:name="kswkform4_17877771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Kuhn Thomas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 SUITE 401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79.52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27,731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88.182</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89.1187</w:t>
            </w:r>
            <w:r>
              <w:rPr>
                <w:rFonts w:ascii="Times;serif" w:hAnsi="Times;serif"/>
                <w:color w:val="008000"/>
                <w:position w:val="7"/>
                <w:sz w:val="16"/>
                <w:sz w:val="20"/>
                <w:shd w:fill="FFFFFF" w:val="clear"/>
              </w:rPr>
              <w:t>(4)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18,921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90.0009</w:t>
            </w:r>
            <w:r>
              <w:rPr>
                <w:rFonts w:ascii="Times;serif" w:hAnsi="Times;serif"/>
                <w:color w:val="008000"/>
                <w:position w:val="7"/>
                <w:sz w:val="16"/>
                <w:sz w:val="20"/>
                <w:shd w:fill="FFFFFF" w:val="clear"/>
              </w:rPr>
              <w:t>(5)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91.01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48,998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Issuer's Common Stock. The RSU vests in full on the earlier of: (i) May 20, 2027, and (ii) the Issuer's next annual stockholder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were automatically sold in a non-discretionary transaction to cover tax withholding obligations upon the settlement of certain time-based RSU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$87.67 to $88.66,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$88.71 to $89.67,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$89.79 to $90.51,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1/3rd of the option shares vest and become exercisable on January 2, 2025, with the remaining option shares vesting in two equal annual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1521"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944</Words>
  <Characters>5000</Characters>
  <CharactersWithSpaces>5811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