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59"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59"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59"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w:t>
      </w:r>
    </w:p>
    <w:p>
      <w:pPr>
        <w:pStyle w:val="TextBody"/>
        <w:bidi w:val="0"/>
        <w:spacing w:lineRule="auto" w:line="259" w:before="0" w:after="0"/>
        <w:jc w:val="center"/>
        <w:rPr/>
      </w:pPr>
      <w:r>
        <w:rPr>
          <w:rFonts w:ascii="Times New Roman;serif" w:hAnsi="Times New Roman;serif"/>
          <w:b/>
          <w:color w:val="000000"/>
          <w:sz w:val="20"/>
        </w:rPr>
        <w:t>The Securities Exchange Act of 1934</w:t>
      </w:r>
      <w:r>
        <w:rPr>
          <w:color w:val="000000"/>
        </w:rPr>
        <w:t xml:space="preserve"> </w:t>
      </w:r>
    </w:p>
    <w:p>
      <w:pPr>
        <w:pStyle w:val="TextBody"/>
        <w:bidi w:val="0"/>
        <w:spacing w:lineRule="auto" w:line="259" w:before="24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shd w:fill="FFFFFF" w:val="clear"/>
        </w:rPr>
        <w:t>August 4, 2026</w:t>
      </w:r>
    </w:p>
    <w:p>
      <w:pPr>
        <w:pStyle w:val="TextBody"/>
        <w:bidi w:val="0"/>
        <w:spacing w:lineRule="auto" w:line="259" w:before="240" w:after="283"/>
        <w:jc w:val="center"/>
        <w:rPr>
          <w:rFonts w:ascii="Times New Roman;serif" w:hAnsi="Times New Roman;serif"/>
          <w:b/>
          <w:color w:val="000000"/>
          <w:sz w:val="36"/>
        </w:rPr>
      </w:pPr>
      <w:r>
        <w:rPr>
          <w:rFonts w:ascii="Times New Roman;serif" w:hAnsi="Times New Roman;serif"/>
          <w:b/>
          <w:color w:val="000000"/>
          <w:sz w:val="36"/>
        </w:rPr>
        <w:t>Anterix Inc.</w:t>
      </w:r>
    </w:p>
    <w:p>
      <w:pPr>
        <w:pStyle w:val="TextBody"/>
        <w:bidi w:val="0"/>
        <w:spacing w:lineRule="auto" w:line="259" w:before="24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93" w:type="dxa"/>
        <w:jc w:val="left"/>
        <w:tblInd w:w="0" w:type="dxa"/>
        <w:tblLayout w:type="fixed"/>
        <w:tblCellMar>
          <w:top w:w="28" w:type="dxa"/>
          <w:left w:w="28" w:type="dxa"/>
          <w:bottom w:w="28" w:type="dxa"/>
          <w:right w:w="28" w:type="dxa"/>
        </w:tblCellMar>
      </w:tblPr>
      <w:tblGrid>
        <w:gridCol w:w="829"/>
        <w:gridCol w:w="728"/>
        <w:gridCol w:w="738"/>
        <w:gridCol w:w="109"/>
        <w:gridCol w:w="109"/>
        <w:gridCol w:w="109"/>
        <w:gridCol w:w="762"/>
        <w:gridCol w:w="762"/>
        <w:gridCol w:w="770"/>
        <w:gridCol w:w="109"/>
        <w:gridCol w:w="109"/>
        <w:gridCol w:w="109"/>
        <w:gridCol w:w="482"/>
        <w:gridCol w:w="482"/>
        <w:gridCol w:w="686"/>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001-36827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33-0745043</w:t>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2" w:type="dxa"/>
        <w:jc w:val="left"/>
        <w:tblInd w:w="0" w:type="dxa"/>
        <w:tblLayout w:type="fixed"/>
        <w:tblCellMar>
          <w:top w:w="28" w:type="dxa"/>
          <w:left w:w="28" w:type="dxa"/>
          <w:bottom w:w="28" w:type="dxa"/>
          <w:right w:w="28" w:type="dxa"/>
        </w:tblCellMar>
      </w:tblPr>
      <w:tblGrid>
        <w:gridCol w:w="1194"/>
        <w:gridCol w:w="1050"/>
        <w:gridCol w:w="1056"/>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3 Garret Mountain Plaza</w:t>
            </w:r>
          </w:p>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Suite 401</w:t>
            </w:r>
          </w:p>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Woodland Park, 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07424</w:t>
            </w:r>
          </w:p>
        </w:tc>
      </w:tr>
      <w:tr>
        <w:trPr/>
        <w:tc>
          <w:tcPr>
            <w:tcW w:w="330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(973) 771-0300</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59"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59"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240.14a-12(b))</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88" w:type="dxa"/>
        <w:jc w:val="left"/>
        <w:tblInd w:w="0" w:type="dxa"/>
        <w:tblLayout w:type="fixed"/>
        <w:tblCellMar>
          <w:top w:w="28" w:type="dxa"/>
          <w:left w:w="28" w:type="dxa"/>
          <w:bottom w:w="28" w:type="dxa"/>
          <w:right w:w="28" w:type="dxa"/>
        </w:tblCellMar>
      </w:tblPr>
      <w:tblGrid>
        <w:gridCol w:w="1097"/>
        <w:gridCol w:w="960"/>
        <w:gridCol w:w="972"/>
        <w:gridCol w:w="464"/>
        <w:gridCol w:w="464"/>
        <w:gridCol w:w="466"/>
        <w:gridCol w:w="1101"/>
        <w:gridCol w:w="1101"/>
        <w:gridCol w:w="1563"/>
      </w:tblGrid>
      <w:tr>
        <w:trPr/>
        <w:tc>
          <w:tcPr>
            <w:tcW w:w="109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65" w:type="dxa"/>
            <w:gridSpan w:val="3"/>
            <w:tcBorders>
              <w:top w:val="single" w:sz="8" w:space="0" w:color="000000"/>
              <w:left w:val="single" w:sz="8" w:space="0" w:color="000000"/>
              <w:right w:val="single" w:sz="8" w:space="0" w:color="000000"/>
            </w:tcBorders>
            <w:tcMar>
              <w:top w:w="52" w:type="dxa"/>
              <w:left w:w="48" w:type="dxa"/>
              <w:bottom w:w="0" w:type="dxa"/>
              <w:right w:w="48"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29"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394"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ATEX </w:t>
            </w:r>
          </w:p>
        </w:tc>
        <w:tc>
          <w:tcPr>
            <w:tcW w:w="3765" w:type="dxa"/>
            <w:gridSpan w:val="3"/>
            <w:tcBorders>
              <w:top w:val="single" w:sz="8" w:space="0" w:color="000000"/>
              <w:left w:val="single" w:sz="8" w:space="0" w:color="000000"/>
              <w:right w:val="single" w:sz="8" w:space="0" w:color="000000"/>
            </w:tcBorders>
            <w:tcMar>
              <w:top w:w="52" w:type="dxa"/>
              <w:left w:w="48" w:type="dxa"/>
              <w:bottom w:w="0" w:type="dxa"/>
              <w:right w:w="48"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tc>
      </w:tr>
      <w:tr>
        <w:trPr/>
        <w:tc>
          <w:tcPr>
            <w:tcW w:w="30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59" w:before="0" w:after="283"/>
              <w:jc w:val="center"/>
              <w:rPr>
                <w:color w:val="000000"/>
              </w:rPr>
            </w:pPr>
            <w:r>
              <w:rPr>
                <w:color w:val="000000"/>
              </w:rPr>
              <w:t> </w:t>
            </w:r>
            <w:r>
              <w:rPr>
                <w:rFonts w:ascii="Times New Roman;serif" w:hAnsi="Times New Roman;serif"/>
                <w:b/>
                <w:color w:val="000000"/>
                <w:sz w:val="20"/>
              </w:rPr>
              <w:t>(NASDAQ Capital Market)</w:t>
            </w:r>
          </w:p>
        </w:tc>
      </w:tr>
    </w:tbl>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59"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August 4, 2026, the stockholders of Anterix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approved Amendment No. 2 (the “</w:t>
      </w:r>
      <w:r>
        <w:rPr>
          <w:rFonts w:ascii="Times New Roman;serif" w:hAnsi="Times New Roman;serif"/>
          <w:b w:val="false"/>
          <w:i/>
          <w:color w:val="000000"/>
          <w:sz w:val="20"/>
        </w:rPr>
        <w:t>Plan Amendment</w:t>
      </w:r>
      <w:r>
        <w:rPr>
          <w:color w:val="000000"/>
        </w:rPr>
        <w:t>”</w:t>
      </w:r>
      <w:r>
        <w:rPr>
          <w:rFonts w:ascii="Times New Roman;serif" w:hAnsi="Times New Roman;serif"/>
          <w:b w:val="false"/>
          <w:color w:val="000000"/>
          <w:sz w:val="20"/>
        </w:rPr>
        <w:t>) to the Anterix Inc. 2023 Stock Plan (the “</w:t>
      </w:r>
      <w:r>
        <w:rPr>
          <w:rFonts w:ascii="Times New Roman;serif" w:hAnsi="Times New Roman;serif"/>
          <w:b w:val="false"/>
          <w:i/>
          <w:color w:val="000000"/>
          <w:sz w:val="20"/>
        </w:rPr>
        <w:t>2023 Plan</w:t>
      </w:r>
      <w:r>
        <w:rPr>
          <w:color w:val="000000"/>
        </w:rPr>
        <w:t>”</w:t>
      </w:r>
      <w:r>
        <w:rPr>
          <w:rFonts w:ascii="Times New Roman;serif" w:hAnsi="Times New Roman;serif"/>
          <w:b w:val="false"/>
          <w:color w:val="000000"/>
          <w:sz w:val="20"/>
        </w:rPr>
        <w:t>) at the Company’s 2026 Annual Meeting of Stockholders (the “</w:t>
      </w:r>
      <w:r>
        <w:rPr>
          <w:rFonts w:ascii="Times New Roman;serif" w:hAnsi="Times New Roman;serif"/>
          <w:b w:val="false"/>
          <w:i/>
          <w:color w:val="000000"/>
          <w:sz w:val="20"/>
        </w:rPr>
        <w:t>Annual Meeting</w:t>
      </w:r>
      <w:r>
        <w:rPr>
          <w:color w:val="000000"/>
        </w:rPr>
        <w:t>”</w:t>
      </w:r>
      <w:r>
        <w:rPr>
          <w:rFonts w:ascii="Times New Roman;serif" w:hAnsi="Times New Roman;serif"/>
          <w:b w:val="false"/>
          <w:color w:val="000000"/>
          <w:sz w:val="20"/>
        </w:rPr>
        <w:t>). The Plan Amendment, which had been previously adopted by the Company’s Board of Directors on June 22, 2026, increases the number of shares of common stock (the “</w:t>
      </w:r>
      <w:r>
        <w:rPr>
          <w:rFonts w:ascii="Times New Roman;serif" w:hAnsi="Times New Roman;serif"/>
          <w:b w:val="false"/>
          <w:i/>
          <w:color w:val="000000"/>
          <w:sz w:val="20"/>
        </w:rPr>
        <w:t>Common Stock</w:t>
      </w:r>
      <w:r>
        <w:rPr>
          <w:color w:val="000000"/>
        </w:rPr>
        <w:t>”</w:t>
      </w:r>
      <w:r>
        <w:rPr>
          <w:rFonts w:ascii="Times New Roman;serif" w:hAnsi="Times New Roman;serif"/>
          <w:b w:val="false"/>
          <w:color w:val="000000"/>
          <w:sz w:val="20"/>
        </w:rPr>
        <w:t xml:space="preserve">) available for issuance under the 2023 Plan by 1.0 million shares.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terms and conditions of the Plan Amendment is qualified in its entirety by reference to the full text of the Plan Amendment, a copy of which is filed as Exhibit 10.1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held its Annual Meeting virtually commencing at 9:30 a.m. Eastern Time. Of the 19,261,270 shares of the Company’s Common Stock issued and outstanding and eligible to vote as of the record date on June 11, 2026, a quorum of 17,347,869 shares of Common Stock, or approximately 90.06% of the eligible shares of Common Stock, were represented at the Annual Meeting either in person or by proxy.</w:t>
      </w:r>
    </w:p>
    <w:p>
      <w:pPr>
        <w:pStyle w:val="TextBody"/>
        <w:bidi w:val="0"/>
        <w:spacing w:before="0" w:after="0"/>
        <w:jc w:val="left"/>
        <w:rPr/>
      </w:pPr>
      <w:r>
        <w:rPr/>
      </w:r>
    </w:p>
    <w:p>
      <w:pPr>
        <w:pStyle w:val="TextBody"/>
        <w:bidi w:val="0"/>
        <w:spacing w:lineRule="auto" w:line="232" w:before="0" w:after="0"/>
        <w:jc w:val="left"/>
        <w:rPr/>
      </w:pPr>
      <w:r>
        <w:rPr>
          <w:rFonts w:ascii="Times New Roman;serif" w:hAnsi="Times New Roman;serif"/>
          <w:b w:val="false"/>
          <w:color w:val="000000"/>
          <w:sz w:val="20"/>
        </w:rPr>
        <w:t>A description of each matter voted upon at the Annual Meeting is set forth in the Company’s definitive proxy statement on Schedule 14A filed with the Securities and Exchange Commission on June 25, 2026 (the “</w:t>
      </w:r>
      <w:r>
        <w:rPr>
          <w:rFonts w:ascii="Times New Roman;serif" w:hAnsi="Times New Roman;serif"/>
          <w:b/>
          <w:i/>
          <w:color w:val="000000"/>
          <w:sz w:val="20"/>
        </w:rPr>
        <w:t>Proxy Statement</w:t>
      </w:r>
      <w:r>
        <w:rPr>
          <w:color w:val="000000"/>
        </w:rPr>
        <w:t>”</w:t>
      </w:r>
      <w:r>
        <w:rPr>
          <w:rFonts w:ascii="Times New Roman;serif" w:hAnsi="Times New Roman;serif"/>
          <w:b w:val="false"/>
          <w:color w:val="000000"/>
          <w:sz w:val="20"/>
        </w:rPr>
        <w:t>). The following actions were taken at the Annual Meeting:</w:t>
      </w:r>
    </w:p>
    <w:p>
      <w:pPr>
        <w:pStyle w:val="TextBody"/>
        <w:bidi w:val="0"/>
        <w:spacing w:before="0" w:after="0"/>
        <w:jc w:val="left"/>
        <w:rPr/>
      </w:pPr>
      <w:r>
        <w:rPr/>
      </w:r>
    </w:p>
    <w:p>
      <w:pPr>
        <w:pStyle w:val="TextBody"/>
        <w:bidi w:val="0"/>
        <w:spacing w:lineRule="auto" w:line="232" w:before="0" w:after="0"/>
        <w:jc w:val="left"/>
        <w:rPr/>
      </w:pPr>
      <w:r>
        <w:rPr>
          <w:rFonts w:ascii="Times New Roman;serif" w:hAnsi="Times New Roman;serif"/>
          <w:b w:val="false"/>
          <w:color w:val="000000"/>
          <w:sz w:val="20"/>
          <w:u w:val="single"/>
        </w:rPr>
        <w:t>(1) Election of Directors</w:t>
      </w:r>
      <w:r>
        <w:rPr>
          <w:rFonts w:ascii="Times New Roman;serif" w:hAnsi="Times New Roman;serif"/>
          <w:b w:val="false"/>
          <w:color w:val="000000"/>
          <w:sz w:val="20"/>
        </w:rPr>
        <w:t>. The Company’s stockholders elected Jeffrey A. Altman, Leslie B. Daniels, Mark A. Fleischhauer, William E. Heard, Thomas R. Kuhn, Scott A. Lang and Mahvash Yazdi as directors, to hold office until the 2027 Annual Meeting of Stockholders and until their respective successors are duly elected and qualified. Each director nominee received more “FOR” votes than “AGAINST” votes, and more than a majority of the votes cast. The following table shows the number of votes cast “FOR” or “AGAINST” and the number of “ABSTENTIONS” and “BROKER NON-VOTES” for each nominee:</w:t>
      </w:r>
    </w:p>
    <w:p>
      <w:pPr>
        <w:pStyle w:val="TextBody"/>
        <w:bidi w:val="0"/>
        <w:spacing w:before="0" w:after="0"/>
        <w:jc w:val="left"/>
        <w:rPr/>
      </w:pPr>
      <w:r>
        <w:rPr/>
      </w:r>
    </w:p>
    <w:p>
      <w:pPr>
        <w:pStyle w:val="TextBody"/>
        <w:bidi w:val="0"/>
        <w:spacing w:before="0" w:after="0"/>
        <w:jc w:val="left"/>
        <w:rPr/>
      </w:pPr>
      <w:r>
        <w:rPr/>
      </w:r>
    </w:p>
    <w:tbl>
      <w:tblPr>
        <w:tblW w:w="7095" w:type="dxa"/>
        <w:jc w:val="left"/>
        <w:tblInd w:w="0" w:type="dxa"/>
        <w:tblLayout w:type="fixed"/>
        <w:tblCellMar>
          <w:top w:w="28" w:type="dxa"/>
          <w:left w:w="28" w:type="dxa"/>
          <w:bottom w:w="28" w:type="dxa"/>
          <w:right w:w="28" w:type="dxa"/>
        </w:tblCellMar>
      </w:tblPr>
      <w:tblGrid>
        <w:gridCol w:w="693"/>
        <w:gridCol w:w="610"/>
        <w:gridCol w:w="615"/>
        <w:gridCol w:w="360"/>
        <w:gridCol w:w="360"/>
        <w:gridCol w:w="360"/>
        <w:gridCol w:w="337"/>
        <w:gridCol w:w="337"/>
        <w:gridCol w:w="344"/>
        <w:gridCol w:w="450"/>
        <w:gridCol w:w="450"/>
        <w:gridCol w:w="450"/>
        <w:gridCol w:w="165"/>
        <w:gridCol w:w="165"/>
        <w:gridCol w:w="1399"/>
      </w:tblGrid>
      <w:tr>
        <w:trPr/>
        <w:tc>
          <w:tcPr>
            <w:tcW w:w="6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ind w:left="0" w:right="0" w:firstLine="789"/>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58"/>
              <w:jc w:val="left"/>
              <w:rPr>
                <w:rFonts w:ascii="Times New Roman;serif" w:hAnsi="Times New Roman;serif"/>
                <w:b/>
                <w:color w:val="000000"/>
                <w:sz w:val="20"/>
                <w:u w:val="single"/>
              </w:rPr>
            </w:pPr>
            <w:r>
              <w:rPr>
                <w:rFonts w:ascii="Times New Roman;serif" w:hAnsi="Times New Roman;serif"/>
                <w:b/>
                <w:color w:val="000000"/>
                <w:sz w:val="20"/>
                <w:u w:val="single"/>
              </w:rPr>
              <w:t>Director</w:t>
            </w:r>
          </w:p>
        </w:tc>
        <w:tc>
          <w:tcPr>
            <w:tcW w:w="1080"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44"/>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18"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87"/>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1350"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269"/>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729"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5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9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Jeffrey A. Altman</w:t>
            </w:r>
          </w:p>
        </w:tc>
        <w:tc>
          <w:tcPr>
            <w:tcW w:w="108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14,431,328</w:t>
            </w:r>
          </w:p>
        </w:tc>
        <w:tc>
          <w:tcPr>
            <w:tcW w:w="10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226,384</w:t>
            </w:r>
          </w:p>
        </w:tc>
        <w:tc>
          <w:tcPr>
            <w:tcW w:w="135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1,646</w:t>
            </w:r>
          </w:p>
        </w:tc>
        <w:tc>
          <w:tcPr>
            <w:tcW w:w="1729"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0"/>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r>
        <w:trPr/>
        <w:tc>
          <w:tcPr>
            <w:tcW w:w="19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Leslie B. Daniel</w:t>
            </w:r>
          </w:p>
        </w:tc>
        <w:tc>
          <w:tcPr>
            <w:tcW w:w="108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13,031,056</w:t>
            </w:r>
          </w:p>
        </w:tc>
        <w:tc>
          <w:tcPr>
            <w:tcW w:w="10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1,626,259</w:t>
            </w:r>
          </w:p>
        </w:tc>
        <w:tc>
          <w:tcPr>
            <w:tcW w:w="135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2,043</w:t>
            </w:r>
          </w:p>
        </w:tc>
        <w:tc>
          <w:tcPr>
            <w:tcW w:w="1729"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0"/>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r>
        <w:trPr/>
        <w:tc>
          <w:tcPr>
            <w:tcW w:w="19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Mark A. Fleischhauer</w:t>
            </w:r>
          </w:p>
        </w:tc>
        <w:tc>
          <w:tcPr>
            <w:tcW w:w="108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14,620,885</w:t>
            </w:r>
          </w:p>
        </w:tc>
        <w:tc>
          <w:tcPr>
            <w:tcW w:w="10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37,429</w:t>
            </w:r>
          </w:p>
        </w:tc>
        <w:tc>
          <w:tcPr>
            <w:tcW w:w="135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1729"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0"/>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r>
        <w:trPr/>
        <w:tc>
          <w:tcPr>
            <w:tcW w:w="19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William E. Head</w:t>
            </w:r>
          </w:p>
        </w:tc>
        <w:tc>
          <w:tcPr>
            <w:tcW w:w="108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14,644,969</w:t>
            </w:r>
          </w:p>
        </w:tc>
        <w:tc>
          <w:tcPr>
            <w:tcW w:w="10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13,345</w:t>
            </w:r>
          </w:p>
        </w:tc>
        <w:tc>
          <w:tcPr>
            <w:tcW w:w="135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1729"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0"/>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r>
        <w:trPr/>
        <w:tc>
          <w:tcPr>
            <w:tcW w:w="19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Thomas R. Kuhn</w:t>
            </w:r>
          </w:p>
        </w:tc>
        <w:tc>
          <w:tcPr>
            <w:tcW w:w="108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14,591,036</w:t>
            </w:r>
          </w:p>
        </w:tc>
        <w:tc>
          <w:tcPr>
            <w:tcW w:w="10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67,152</w:t>
            </w:r>
          </w:p>
        </w:tc>
        <w:tc>
          <w:tcPr>
            <w:tcW w:w="135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1,170</w:t>
            </w:r>
          </w:p>
        </w:tc>
        <w:tc>
          <w:tcPr>
            <w:tcW w:w="1729"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0"/>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r>
        <w:trPr/>
        <w:tc>
          <w:tcPr>
            <w:tcW w:w="19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Scott A. Lang</w:t>
            </w:r>
          </w:p>
        </w:tc>
        <w:tc>
          <w:tcPr>
            <w:tcW w:w="108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14,606,826</w:t>
            </w:r>
          </w:p>
        </w:tc>
        <w:tc>
          <w:tcPr>
            <w:tcW w:w="1018"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51,489</w:t>
            </w:r>
          </w:p>
        </w:tc>
        <w:tc>
          <w:tcPr>
            <w:tcW w:w="1350"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1729" w:type="dxa"/>
            <w:gridSpan w:val="3"/>
            <w:tcBorders/>
            <w:tcMar>
              <w:top w:w="0" w:type="dxa"/>
              <w:left w:w="0" w:type="dxa"/>
              <w:bottom w:w="0" w:type="dxa"/>
              <w:right w:w="0" w:type="dxa"/>
            </w:tcMar>
            <w:vAlign w:val="center"/>
          </w:tcPr>
          <w:p>
            <w:pPr>
              <w:pStyle w:val="TableContents"/>
              <w:bidi w:val="0"/>
              <w:spacing w:lineRule="auto" w:line="220" w:before="0" w:after="283"/>
              <w:ind w:left="0" w:right="0" w:firstLine="50"/>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r>
        <w:trPr/>
        <w:tc>
          <w:tcPr>
            <w:tcW w:w="1918"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58"/>
              <w:jc w:val="left"/>
              <w:rPr>
                <w:rFonts w:ascii="Times New Roman;serif" w:hAnsi="Times New Roman;serif"/>
                <w:b w:val="false"/>
                <w:color w:val="000000"/>
                <w:sz w:val="20"/>
              </w:rPr>
            </w:pPr>
            <w:r>
              <w:rPr>
                <w:rFonts w:ascii="Times New Roman;serif" w:hAnsi="Times New Roman;serif"/>
                <w:b w:val="false"/>
                <w:color w:val="000000"/>
                <w:sz w:val="20"/>
              </w:rPr>
              <w:t>Mahvash Yazdi</w:t>
            </w:r>
          </w:p>
        </w:tc>
        <w:tc>
          <w:tcPr>
            <w:tcW w:w="1080"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44"/>
              <w:jc w:val="center"/>
              <w:rPr>
                <w:rFonts w:ascii="Times New Roman;serif" w:hAnsi="Times New Roman;serif"/>
                <w:b w:val="false"/>
                <w:color w:val="000000"/>
                <w:sz w:val="20"/>
              </w:rPr>
            </w:pPr>
            <w:r>
              <w:rPr>
                <w:rFonts w:ascii="Times New Roman;serif" w:hAnsi="Times New Roman;serif"/>
                <w:b w:val="false"/>
                <w:color w:val="000000"/>
                <w:sz w:val="20"/>
              </w:rPr>
              <w:t>14,552,331</w:t>
            </w:r>
          </w:p>
        </w:tc>
        <w:tc>
          <w:tcPr>
            <w:tcW w:w="1018"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105,998</w:t>
            </w:r>
          </w:p>
        </w:tc>
        <w:tc>
          <w:tcPr>
            <w:tcW w:w="1350"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269"/>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1729" w:type="dxa"/>
            <w:gridSpan w:val="3"/>
            <w:tcBorders/>
            <w:tcMar>
              <w:top w:w="0" w:type="dxa"/>
              <w:left w:w="0" w:type="dxa"/>
              <w:bottom w:w="0" w:type="dxa"/>
              <w:right w:w="0" w:type="dxa"/>
            </w:tcMar>
            <w:vAlign w:val="center"/>
          </w:tcPr>
          <w:p>
            <w:pPr>
              <w:pStyle w:val="TableContents"/>
              <w:bidi w:val="0"/>
              <w:spacing w:lineRule="auto" w:line="204" w:before="0" w:after="283"/>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8"/>
          <w:u w:val="single"/>
        </w:rPr>
        <w:t xml:space="preserve">(2) </w:t>
      </w:r>
      <w:r>
        <w:rPr>
          <w:rFonts w:ascii="Times New Roman;serif" w:hAnsi="Times New Roman;serif"/>
          <w:b w:val="false"/>
          <w:color w:val="000000"/>
          <w:sz w:val="20"/>
          <w:u w:val="single"/>
        </w:rPr>
        <w:t>Advisory Vote on the Compensation of the Named Executive Officers</w:t>
      </w:r>
      <w:r>
        <w:rPr>
          <w:rFonts w:ascii="Times New Roman;serif" w:hAnsi="Times New Roman;serif"/>
          <w:b w:val="false"/>
          <w:color w:val="000000"/>
          <w:sz w:val="20"/>
        </w:rPr>
        <w:t>. The Company’s stockholders approved, on a non-binding, advisory basis, the compensation of the Company’s named executive officers as disclosed in the Proxy Statement. The following table shows the tabulation of the votes cast “FOR” and “AGAINST” this proposal as well as the “ABSTENTIONS” and “BROKER NON-VOTES” submitted on this proposal:</w:t>
      </w:r>
    </w:p>
    <w:p>
      <w:pPr>
        <w:pStyle w:val="TextBody"/>
        <w:bidi w:val="0"/>
        <w:spacing w:before="0" w:after="0"/>
        <w:jc w:val="left"/>
        <w:rPr/>
      </w:pPr>
      <w:r>
        <w:rPr/>
      </w:r>
    </w:p>
    <w:tbl>
      <w:tblPr>
        <w:tblW w:w="5089" w:type="dxa"/>
        <w:jc w:val="left"/>
        <w:tblInd w:w="0" w:type="dxa"/>
        <w:tblLayout w:type="fixed"/>
        <w:tblCellMar>
          <w:top w:w="28" w:type="dxa"/>
          <w:left w:w="28" w:type="dxa"/>
          <w:bottom w:w="28" w:type="dxa"/>
          <w:right w:w="28" w:type="dxa"/>
        </w:tblCellMar>
      </w:tblPr>
      <w:tblGrid>
        <w:gridCol w:w="388"/>
        <w:gridCol w:w="339"/>
        <w:gridCol w:w="346"/>
        <w:gridCol w:w="304"/>
        <w:gridCol w:w="304"/>
        <w:gridCol w:w="305"/>
        <w:gridCol w:w="474"/>
        <w:gridCol w:w="474"/>
        <w:gridCol w:w="474"/>
        <w:gridCol w:w="492"/>
        <w:gridCol w:w="492"/>
        <w:gridCol w:w="697"/>
      </w:tblGrid>
      <w:tr>
        <w:trPr/>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22"/>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1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62"/>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1422"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341"/>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681"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7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22"/>
              <w:jc w:val="center"/>
              <w:rPr>
                <w:rFonts w:ascii="Times New Roman;serif" w:hAnsi="Times New Roman;serif"/>
                <w:b w:val="false"/>
                <w:color w:val="000000"/>
                <w:sz w:val="20"/>
              </w:rPr>
            </w:pPr>
            <w:r>
              <w:rPr>
                <w:rFonts w:ascii="Times New Roman;serif" w:hAnsi="Times New Roman;serif"/>
                <w:b w:val="false"/>
                <w:color w:val="000000"/>
                <w:sz w:val="20"/>
              </w:rPr>
              <w:t>14,641,617</w:t>
            </w:r>
          </w:p>
        </w:tc>
        <w:tc>
          <w:tcPr>
            <w:tcW w:w="91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162"/>
              <w:jc w:val="center"/>
              <w:rPr>
                <w:rFonts w:ascii="Times New Roman;serif" w:hAnsi="Times New Roman;serif"/>
                <w:b w:val="false"/>
                <w:color w:val="000000"/>
                <w:sz w:val="20"/>
              </w:rPr>
            </w:pPr>
            <w:r>
              <w:rPr>
                <w:rFonts w:ascii="Times New Roman;serif" w:hAnsi="Times New Roman;serif"/>
                <w:b w:val="false"/>
                <w:color w:val="000000"/>
                <w:sz w:val="20"/>
              </w:rPr>
              <w:t>15,894</w:t>
            </w:r>
          </w:p>
        </w:tc>
        <w:tc>
          <w:tcPr>
            <w:tcW w:w="1422"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341"/>
              <w:jc w:val="center"/>
              <w:rPr>
                <w:rFonts w:ascii="Times New Roman;serif" w:hAnsi="Times New Roman;serif"/>
                <w:b w:val="false"/>
                <w:color w:val="000000"/>
                <w:sz w:val="20"/>
              </w:rPr>
            </w:pPr>
            <w:r>
              <w:rPr>
                <w:rFonts w:ascii="Times New Roman;serif" w:hAnsi="Times New Roman;serif"/>
                <w:b w:val="false"/>
                <w:color w:val="000000"/>
                <w:sz w:val="20"/>
              </w:rPr>
              <w:t>1,847</w:t>
            </w:r>
          </w:p>
        </w:tc>
        <w:tc>
          <w:tcPr>
            <w:tcW w:w="1681" w:type="dxa"/>
            <w:gridSpan w:val="3"/>
            <w:tcBorders/>
            <w:tcMar>
              <w:top w:w="0" w:type="dxa"/>
              <w:left w:w="0" w:type="dxa"/>
              <w:bottom w:w="0" w:type="dxa"/>
              <w:right w:w="0" w:type="dxa"/>
            </w:tcMar>
            <w:vAlign w:val="center"/>
          </w:tcPr>
          <w:p>
            <w:pPr>
              <w:pStyle w:val="TableContents"/>
              <w:bidi w:val="0"/>
              <w:spacing w:lineRule="auto" w:line="204" w:before="0" w:after="283"/>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u w:val="single"/>
        </w:rPr>
        <w:t>(3) Amendment No. 2 to the Anterix Inc. 2023 Stock Plan</w:t>
      </w:r>
      <w:r>
        <w:rPr>
          <w:rFonts w:ascii="Times New Roman;serif" w:hAnsi="Times New Roman;serif"/>
          <w:b w:val="false"/>
          <w:color w:val="000000"/>
          <w:sz w:val="20"/>
        </w:rPr>
        <w:t>. The Company’s stockholders approved the Plan Amendment. The following table shows the tabulation of the votes cast “FOR” and “AGAINST” this proposal as well as the “ABSTENTIONS” and “BROKER NON-VOTES” submitted on this proposal:</w:t>
      </w:r>
    </w:p>
    <w:p>
      <w:pPr>
        <w:pStyle w:val="TextBody"/>
        <w:bidi w:val="0"/>
        <w:spacing w:before="0" w:after="0"/>
        <w:jc w:val="left"/>
        <w:rPr/>
      </w:pPr>
      <w:r>
        <w:rPr/>
      </w:r>
    </w:p>
    <w:tbl>
      <w:tblPr>
        <w:tblW w:w="5269" w:type="dxa"/>
        <w:jc w:val="left"/>
        <w:tblInd w:w="0" w:type="dxa"/>
        <w:tblLayout w:type="fixed"/>
        <w:tblCellMar>
          <w:top w:w="28" w:type="dxa"/>
          <w:left w:w="28" w:type="dxa"/>
          <w:bottom w:w="28" w:type="dxa"/>
          <w:right w:w="28" w:type="dxa"/>
        </w:tblCellMar>
      </w:tblPr>
      <w:tblGrid>
        <w:gridCol w:w="388"/>
        <w:gridCol w:w="339"/>
        <w:gridCol w:w="346"/>
        <w:gridCol w:w="363"/>
        <w:gridCol w:w="363"/>
        <w:gridCol w:w="367"/>
        <w:gridCol w:w="474"/>
        <w:gridCol w:w="474"/>
        <w:gridCol w:w="474"/>
        <w:gridCol w:w="492"/>
        <w:gridCol w:w="492"/>
        <w:gridCol w:w="697"/>
      </w:tblGrid>
      <w:tr>
        <w:trPr/>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22"/>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9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62"/>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1422"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341"/>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681"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7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22"/>
              <w:jc w:val="center"/>
              <w:rPr>
                <w:rFonts w:ascii="Times New Roman;serif" w:hAnsi="Times New Roman;serif"/>
                <w:b w:val="false"/>
                <w:color w:val="000000"/>
                <w:sz w:val="20"/>
              </w:rPr>
            </w:pPr>
            <w:r>
              <w:rPr>
                <w:rFonts w:ascii="Times New Roman;serif" w:hAnsi="Times New Roman;serif"/>
                <w:b w:val="false"/>
                <w:color w:val="000000"/>
                <w:sz w:val="20"/>
              </w:rPr>
              <w:t>13,558,280</w:t>
            </w:r>
          </w:p>
        </w:tc>
        <w:tc>
          <w:tcPr>
            <w:tcW w:w="109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162"/>
              <w:jc w:val="center"/>
              <w:rPr>
                <w:rFonts w:ascii="Times New Roman;serif" w:hAnsi="Times New Roman;serif"/>
                <w:b w:val="false"/>
                <w:color w:val="000000"/>
                <w:sz w:val="20"/>
              </w:rPr>
            </w:pPr>
            <w:r>
              <w:rPr>
                <w:rFonts w:ascii="Times New Roman;serif" w:hAnsi="Times New Roman;serif"/>
                <w:b w:val="false"/>
                <w:color w:val="000000"/>
                <w:sz w:val="20"/>
              </w:rPr>
              <w:t>1,099,125</w:t>
            </w:r>
          </w:p>
        </w:tc>
        <w:tc>
          <w:tcPr>
            <w:tcW w:w="1422"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341"/>
              <w:jc w:val="center"/>
              <w:rPr>
                <w:rFonts w:ascii="Times New Roman;serif" w:hAnsi="Times New Roman;serif"/>
                <w:b w:val="false"/>
                <w:color w:val="000000"/>
                <w:sz w:val="20"/>
              </w:rPr>
            </w:pPr>
            <w:r>
              <w:rPr>
                <w:rFonts w:ascii="Times New Roman;serif" w:hAnsi="Times New Roman;serif"/>
                <w:b w:val="false"/>
                <w:color w:val="000000"/>
                <w:sz w:val="20"/>
              </w:rPr>
              <w:t>1,953</w:t>
            </w:r>
          </w:p>
        </w:tc>
        <w:tc>
          <w:tcPr>
            <w:tcW w:w="1681" w:type="dxa"/>
            <w:gridSpan w:val="3"/>
            <w:tcBorders/>
            <w:tcMar>
              <w:top w:w="0" w:type="dxa"/>
              <w:left w:w="0" w:type="dxa"/>
              <w:bottom w:w="0" w:type="dxa"/>
              <w:right w:w="0" w:type="dxa"/>
            </w:tcMar>
            <w:vAlign w:val="center"/>
          </w:tcPr>
          <w:p>
            <w:pPr>
              <w:pStyle w:val="TableContents"/>
              <w:bidi w:val="0"/>
              <w:spacing w:lineRule="auto" w:line="204" w:before="0" w:after="283"/>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u w:val="single"/>
        </w:rPr>
        <w:t>(4) Advisory Vote on the Frequency of Future Advisory Votes on the Compensation of the Named Executive Officers</w:t>
      </w:r>
      <w:r>
        <w:rPr>
          <w:rFonts w:ascii="Times New Roman;serif" w:hAnsi="Times New Roman;serif"/>
          <w:b w:val="false"/>
          <w:color w:val="000000"/>
          <w:sz w:val="20"/>
        </w:rPr>
        <w:t>. The Company’s stockholders approved, on a non-binding, advisory basis, the recommended frequency of one year for future advisory votes on the compensation of the Company’s named executive officers. The following table shows the tabulation of the votes cast for ““1 YEAR”, “2 YEARS” and “3 YEARS” as well as the “ABSTENTIONS” and “BROKER NON-VOTES” submitted on this proposal:</w:t>
      </w:r>
    </w:p>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388"/>
        <w:gridCol w:w="341"/>
        <w:gridCol w:w="344"/>
        <w:gridCol w:w="303"/>
        <w:gridCol w:w="303"/>
        <w:gridCol w:w="305"/>
        <w:gridCol w:w="313"/>
        <w:gridCol w:w="313"/>
        <w:gridCol w:w="317"/>
        <w:gridCol w:w="474"/>
        <w:gridCol w:w="474"/>
        <w:gridCol w:w="474"/>
        <w:gridCol w:w="492"/>
        <w:gridCol w:w="492"/>
        <w:gridCol w:w="697"/>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22"/>
              <w:jc w:val="center"/>
              <w:rPr>
                <w:rFonts w:ascii="Times New Roman;serif" w:hAnsi="Times New Roman;serif"/>
                <w:b/>
                <w:color w:val="000000"/>
                <w:sz w:val="20"/>
                <w:u w:val="single"/>
              </w:rPr>
            </w:pPr>
            <w:r>
              <w:rPr>
                <w:rFonts w:ascii="Times New Roman;serif" w:hAnsi="Times New Roman;serif"/>
                <w:b/>
                <w:color w:val="000000"/>
                <w:sz w:val="20"/>
                <w:u w:val="single"/>
              </w:rPr>
              <w:t>1 Year</w:t>
            </w:r>
          </w:p>
        </w:tc>
        <w:tc>
          <w:tcPr>
            <w:tcW w:w="911"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62"/>
              <w:jc w:val="center"/>
              <w:rPr>
                <w:rFonts w:ascii="Times New Roman;serif" w:hAnsi="Times New Roman;serif"/>
                <w:b/>
                <w:color w:val="000000"/>
                <w:sz w:val="20"/>
                <w:u w:val="single"/>
              </w:rPr>
            </w:pPr>
            <w:r>
              <w:rPr>
                <w:rFonts w:ascii="Times New Roman;serif" w:hAnsi="Times New Roman;serif"/>
                <w:b/>
                <w:color w:val="000000"/>
                <w:sz w:val="20"/>
                <w:u w:val="single"/>
              </w:rPr>
              <w:t>2 Years</w:t>
            </w:r>
          </w:p>
        </w:tc>
        <w:tc>
          <w:tcPr>
            <w:tcW w:w="94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62"/>
              <w:jc w:val="center"/>
              <w:rPr>
                <w:rFonts w:ascii="Times New Roman;serif" w:hAnsi="Times New Roman;serif"/>
                <w:b/>
                <w:color w:val="000000"/>
                <w:sz w:val="20"/>
                <w:u w:val="single"/>
              </w:rPr>
            </w:pPr>
            <w:r>
              <w:rPr>
                <w:rFonts w:ascii="Times New Roman;serif" w:hAnsi="Times New Roman;serif"/>
                <w:b/>
                <w:color w:val="000000"/>
                <w:sz w:val="20"/>
                <w:u w:val="single"/>
              </w:rPr>
              <w:t>3 Years</w:t>
            </w:r>
          </w:p>
        </w:tc>
        <w:tc>
          <w:tcPr>
            <w:tcW w:w="1422"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341"/>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681"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7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22"/>
              <w:jc w:val="center"/>
              <w:rPr>
                <w:rFonts w:ascii="Times New Roman;serif" w:hAnsi="Times New Roman;serif"/>
                <w:b w:val="false"/>
                <w:color w:val="000000"/>
                <w:sz w:val="20"/>
              </w:rPr>
            </w:pPr>
            <w:r>
              <w:rPr>
                <w:rFonts w:ascii="Times New Roman;serif" w:hAnsi="Times New Roman;serif"/>
                <w:b w:val="false"/>
                <w:color w:val="000000"/>
                <w:sz w:val="20"/>
              </w:rPr>
              <w:t>14,425,357</w:t>
            </w:r>
          </w:p>
        </w:tc>
        <w:tc>
          <w:tcPr>
            <w:tcW w:w="911"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162"/>
              <w:jc w:val="center"/>
              <w:rPr>
                <w:rFonts w:ascii="Times New Roman;serif" w:hAnsi="Times New Roman;serif"/>
                <w:b w:val="false"/>
                <w:color w:val="000000"/>
                <w:sz w:val="20"/>
              </w:rPr>
            </w:pPr>
            <w:r>
              <w:rPr>
                <w:rFonts w:ascii="Times New Roman;serif" w:hAnsi="Times New Roman;serif"/>
                <w:b w:val="false"/>
                <w:color w:val="000000"/>
                <w:sz w:val="20"/>
              </w:rPr>
              <w:t>12,775</w:t>
            </w:r>
          </w:p>
        </w:tc>
        <w:tc>
          <w:tcPr>
            <w:tcW w:w="94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162"/>
              <w:jc w:val="center"/>
              <w:rPr>
                <w:rFonts w:ascii="Times New Roman;serif" w:hAnsi="Times New Roman;serif"/>
                <w:b w:val="false"/>
                <w:color w:val="000000"/>
                <w:sz w:val="20"/>
              </w:rPr>
            </w:pPr>
            <w:r>
              <w:rPr>
                <w:rFonts w:ascii="Times New Roman;serif" w:hAnsi="Times New Roman;serif"/>
                <w:b w:val="false"/>
                <w:color w:val="000000"/>
                <w:sz w:val="20"/>
              </w:rPr>
              <w:t>219,765</w:t>
            </w:r>
          </w:p>
        </w:tc>
        <w:tc>
          <w:tcPr>
            <w:tcW w:w="1422"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341"/>
              <w:jc w:val="center"/>
              <w:rPr>
                <w:rFonts w:ascii="Times New Roman;serif" w:hAnsi="Times New Roman;serif"/>
                <w:b w:val="false"/>
                <w:color w:val="000000"/>
                <w:sz w:val="20"/>
              </w:rPr>
            </w:pPr>
            <w:r>
              <w:rPr>
                <w:rFonts w:ascii="Times New Roman;serif" w:hAnsi="Times New Roman;serif"/>
                <w:b w:val="false"/>
                <w:color w:val="000000"/>
                <w:sz w:val="20"/>
              </w:rPr>
              <w:t>1,461</w:t>
            </w:r>
          </w:p>
        </w:tc>
        <w:tc>
          <w:tcPr>
            <w:tcW w:w="1681" w:type="dxa"/>
            <w:gridSpan w:val="3"/>
            <w:tcBorders/>
            <w:tcMar>
              <w:top w:w="0" w:type="dxa"/>
              <w:left w:w="0" w:type="dxa"/>
              <w:bottom w:w="0" w:type="dxa"/>
              <w:right w:w="0" w:type="dxa"/>
            </w:tcMar>
            <w:vAlign w:val="center"/>
          </w:tcPr>
          <w:p>
            <w:pPr>
              <w:pStyle w:val="TableContents"/>
              <w:bidi w:val="0"/>
              <w:spacing w:lineRule="auto" w:line="204" w:before="0" w:after="283"/>
              <w:jc w:val="center"/>
              <w:rPr>
                <w:rFonts w:ascii="Times New Roman;serif" w:hAnsi="Times New Roman;serif"/>
                <w:b w:val="false"/>
                <w:color w:val="000000"/>
                <w:sz w:val="20"/>
              </w:rPr>
            </w:pPr>
            <w:r>
              <w:rPr>
                <w:rFonts w:ascii="Times New Roman;serif" w:hAnsi="Times New Roman;serif"/>
                <w:b w:val="false"/>
                <w:color w:val="000000"/>
                <w:sz w:val="20"/>
              </w:rPr>
              <w:t>2,688,511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2" w:before="0" w:after="0"/>
        <w:jc w:val="left"/>
        <w:rPr/>
      </w:pPr>
      <w:r>
        <w:rPr>
          <w:rFonts w:ascii="Times New Roman;serif" w:hAnsi="Times New Roman;serif"/>
          <w:b w:val="false"/>
          <w:color w:val="000000"/>
          <w:sz w:val="20"/>
          <w:u w:val="single"/>
        </w:rPr>
        <w:t>(5) Ratification of Auditors</w:t>
      </w:r>
      <w:r>
        <w:rPr>
          <w:rFonts w:ascii="Times New Roman;serif" w:hAnsi="Times New Roman;serif"/>
          <w:b w:val="false"/>
          <w:color w:val="000000"/>
          <w:sz w:val="20"/>
        </w:rPr>
        <w:t>. The Company’s stockholders ratified the appointment of Deloitte &amp; Touche LLP as the Company’s independent registered public accounting firm for the fiscal year ending March 31, 2027. The following table shows the tabulation of the votes cast “FOR” and “AGAINST” this proposal as well as the “ABSTENTIONS” submitted on this proposal:</w:t>
      </w:r>
    </w:p>
    <w:p>
      <w:pPr>
        <w:pStyle w:val="TextBody"/>
        <w:bidi w:val="0"/>
        <w:spacing w:before="0" w:after="0"/>
        <w:jc w:val="left"/>
        <w:rPr/>
      </w:pPr>
      <w:r>
        <w:rPr/>
      </w:r>
    </w:p>
    <w:tbl>
      <w:tblPr>
        <w:tblW w:w="3489" w:type="dxa"/>
        <w:jc w:val="left"/>
        <w:tblInd w:w="0" w:type="dxa"/>
        <w:tblLayout w:type="fixed"/>
        <w:tblCellMar>
          <w:top w:w="28" w:type="dxa"/>
          <w:left w:w="28" w:type="dxa"/>
          <w:bottom w:w="28" w:type="dxa"/>
          <w:right w:w="28" w:type="dxa"/>
        </w:tblCellMar>
      </w:tblPr>
      <w:tblGrid>
        <w:gridCol w:w="388"/>
        <w:gridCol w:w="339"/>
        <w:gridCol w:w="346"/>
        <w:gridCol w:w="430"/>
        <w:gridCol w:w="430"/>
        <w:gridCol w:w="430"/>
        <w:gridCol w:w="329"/>
        <w:gridCol w:w="329"/>
        <w:gridCol w:w="468"/>
      </w:tblGrid>
      <w:tr>
        <w:trPr/>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22"/>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290" w:type="dxa"/>
            <w:gridSpan w:val="3"/>
            <w:tcBorders/>
            <w:tcMar>
              <w:top w:w="0" w:type="dxa"/>
              <w:left w:w="0" w:type="dxa"/>
              <w:bottom w:w="0" w:type="dxa"/>
              <w:right w:w="0" w:type="dxa"/>
            </w:tcMar>
            <w:vAlign w:val="center"/>
          </w:tcPr>
          <w:p>
            <w:pPr>
              <w:pStyle w:val="TableContents"/>
              <w:bidi w:val="0"/>
              <w:spacing w:lineRule="auto" w:line="211" w:before="0" w:after="283"/>
              <w:ind w:left="0" w:right="0" w:firstLine="539"/>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1126" w:type="dxa"/>
            <w:gridSpan w:val="3"/>
            <w:tcBorders/>
            <w:tcMar>
              <w:top w:w="0" w:type="dxa"/>
              <w:left w:w="0" w:type="dxa"/>
              <w:bottom w:w="0" w:type="dxa"/>
              <w:right w:w="0" w:type="dxa"/>
            </w:tcMar>
            <w:vAlign w:val="center"/>
          </w:tcPr>
          <w:p>
            <w:pPr>
              <w:pStyle w:val="TableContents"/>
              <w:bidi w:val="0"/>
              <w:spacing w:lineRule="auto" w:line="211"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r>
      <w:tr>
        <w:trPr/>
        <w:tc>
          <w:tcPr>
            <w:tcW w:w="1073"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22"/>
              <w:jc w:val="center"/>
              <w:rPr>
                <w:rFonts w:ascii="Times New Roman;serif" w:hAnsi="Times New Roman;serif"/>
                <w:b w:val="false"/>
                <w:color w:val="000000"/>
                <w:sz w:val="20"/>
              </w:rPr>
            </w:pPr>
            <w:r>
              <w:rPr>
                <w:rFonts w:ascii="Times New Roman;serif" w:hAnsi="Times New Roman;serif"/>
                <w:b w:val="false"/>
                <w:color w:val="000000"/>
                <w:sz w:val="20"/>
              </w:rPr>
              <w:t>17,331,529</w:t>
            </w:r>
          </w:p>
        </w:tc>
        <w:tc>
          <w:tcPr>
            <w:tcW w:w="1290" w:type="dxa"/>
            <w:gridSpan w:val="3"/>
            <w:tcBorders/>
            <w:tcMar>
              <w:top w:w="0" w:type="dxa"/>
              <w:left w:w="0" w:type="dxa"/>
              <w:bottom w:w="0" w:type="dxa"/>
              <w:right w:w="0" w:type="dxa"/>
            </w:tcMar>
            <w:vAlign w:val="center"/>
          </w:tcPr>
          <w:p>
            <w:pPr>
              <w:pStyle w:val="TableContents"/>
              <w:bidi w:val="0"/>
              <w:spacing w:lineRule="auto" w:line="204" w:before="0" w:after="283"/>
              <w:ind w:left="0" w:right="0" w:firstLine="539"/>
              <w:jc w:val="center"/>
              <w:rPr>
                <w:rFonts w:ascii="Times New Roman;serif" w:hAnsi="Times New Roman;serif"/>
                <w:b w:val="false"/>
                <w:color w:val="000000"/>
                <w:sz w:val="20"/>
              </w:rPr>
            </w:pPr>
            <w:r>
              <w:rPr>
                <w:rFonts w:ascii="Times New Roman;serif" w:hAnsi="Times New Roman;serif"/>
                <w:b w:val="false"/>
                <w:color w:val="000000"/>
                <w:sz w:val="20"/>
              </w:rPr>
              <w:t>618</w:t>
            </w:r>
          </w:p>
        </w:tc>
        <w:tc>
          <w:tcPr>
            <w:tcW w:w="1126" w:type="dxa"/>
            <w:gridSpan w:val="3"/>
            <w:tcBorders/>
            <w:tcMar>
              <w:top w:w="0" w:type="dxa"/>
              <w:left w:w="0" w:type="dxa"/>
              <w:bottom w:w="0" w:type="dxa"/>
              <w:right w:w="0" w:type="dxa"/>
            </w:tcMar>
            <w:vAlign w:val="center"/>
          </w:tcPr>
          <w:p>
            <w:pPr>
              <w:pStyle w:val="TableContents"/>
              <w:bidi w:val="0"/>
              <w:spacing w:lineRule="auto" w:line="204" w:before="0" w:after="283"/>
              <w:jc w:val="center"/>
              <w:rPr>
                <w:rFonts w:ascii="Times New Roman;serif" w:hAnsi="Times New Roman;serif"/>
                <w:b w:val="false"/>
                <w:color w:val="000000"/>
                <w:sz w:val="20"/>
              </w:rPr>
            </w:pPr>
            <w:r>
              <w:rPr>
                <w:rFonts w:ascii="Times New Roman;serif" w:hAnsi="Times New Roman;serif"/>
                <w:b w:val="false"/>
                <w:color w:val="000000"/>
                <w:sz w:val="20"/>
              </w:rPr>
              <w:t>15,722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No</w:t>
      </w:r>
      <w:r>
        <w:rPr>
          <w:color w:val="000000"/>
        </w:rPr>
        <w:t xml:space="preserve"> </w:t>
      </w:r>
      <w:r>
        <w:rPr>
          <w:rFonts w:ascii="Times New Roman;serif" w:hAnsi="Times New Roman;serif"/>
          <w:b w:val="false"/>
          <w:color w:val="000000"/>
          <w:sz w:val="18"/>
        </w:rPr>
        <w:t>other</w:t>
      </w:r>
      <w:r>
        <w:rPr>
          <w:color w:val="000000"/>
        </w:rPr>
        <w:t xml:space="preserve"> </w:t>
      </w:r>
      <w:r>
        <w:rPr>
          <w:rFonts w:ascii="Times New Roman;serif" w:hAnsi="Times New Roman;serif"/>
          <w:b w:val="false"/>
          <w:color w:val="000000"/>
          <w:sz w:val="18"/>
        </w:rPr>
        <w:t>items</w:t>
      </w:r>
      <w:r>
        <w:rPr>
          <w:color w:val="000000"/>
        </w:rPr>
        <w:t xml:space="preserve"> </w:t>
      </w:r>
      <w:r>
        <w:rPr>
          <w:rFonts w:ascii="Times New Roman;serif" w:hAnsi="Times New Roman;serif"/>
          <w:b w:val="false"/>
          <w:color w:val="000000"/>
          <w:sz w:val="18"/>
        </w:rPr>
        <w:t>were</w:t>
      </w:r>
      <w:r>
        <w:rPr>
          <w:color w:val="000000"/>
        </w:rPr>
        <w:t xml:space="preserve"> </w:t>
      </w:r>
      <w:r>
        <w:rPr>
          <w:rFonts w:ascii="Times New Roman;serif" w:hAnsi="Times New Roman;serif"/>
          <w:b w:val="false"/>
          <w:color w:val="000000"/>
          <w:sz w:val="18"/>
        </w:rPr>
        <w:t>presented</w:t>
      </w:r>
      <w:r>
        <w:rPr>
          <w:color w:val="000000"/>
        </w:rPr>
        <w:t xml:space="preserve"> </w:t>
      </w:r>
      <w:r>
        <w:rPr>
          <w:rFonts w:ascii="Times New Roman;serif" w:hAnsi="Times New Roman;serif"/>
          <w:b w:val="false"/>
          <w:color w:val="000000"/>
          <w:sz w:val="18"/>
        </w:rPr>
        <w:t>for</w:t>
      </w:r>
      <w:r>
        <w:rPr>
          <w:color w:val="000000"/>
        </w:rPr>
        <w:t xml:space="preserve"> </w:t>
      </w:r>
      <w:r>
        <w:rPr>
          <w:rFonts w:ascii="Times New Roman;serif" w:hAnsi="Times New Roman;serif"/>
          <w:b w:val="false"/>
          <w:color w:val="000000"/>
          <w:sz w:val="18"/>
        </w:rPr>
        <w:t>stockholder</w:t>
      </w:r>
      <w:r>
        <w:rPr>
          <w:color w:val="000000"/>
        </w:rPr>
        <w:t xml:space="preserve"> </w:t>
      </w:r>
      <w:r>
        <w:rPr>
          <w:rFonts w:ascii="Times New Roman;serif" w:hAnsi="Times New Roman;serif"/>
          <w:b w:val="false"/>
          <w:color w:val="000000"/>
          <w:sz w:val="18"/>
        </w:rPr>
        <w:t>approval</w:t>
      </w:r>
      <w:r>
        <w:rPr>
          <w:color w:val="000000"/>
        </w:rPr>
        <w:t xml:space="preserve"> </w:t>
      </w:r>
      <w:r>
        <w:rPr>
          <w:rFonts w:ascii="Times New Roman;serif" w:hAnsi="Times New Roman;serif"/>
          <w:b w:val="false"/>
          <w:color w:val="000000"/>
          <w:sz w:val="18"/>
        </w:rPr>
        <w:t>at</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Annual</w:t>
      </w:r>
      <w:r>
        <w:rPr>
          <w:color w:val="000000"/>
        </w:rPr>
        <w:t xml:space="preserve"> </w:t>
      </w:r>
      <w:r>
        <w:rPr>
          <w:rFonts w:ascii="Times New Roman;serif" w:hAnsi="Times New Roman;serif"/>
          <w:b w:val="false"/>
          <w:color w:val="000000"/>
          <w:sz w:val="20"/>
        </w:rPr>
        <w:t>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9" w:before="0" w:after="0"/>
        <w:jc w:val="left"/>
        <w:rPr/>
      </w:pPr>
      <w:r>
        <w:rPr>
          <w:rFonts w:ascii="Times New Roman;serif" w:hAnsi="Times New Roman;serif"/>
          <w:b/>
          <w:color w:val="000000"/>
          <w:sz w:val="20"/>
        </w:rPr>
        <w:t>Item 9.01. Financial Statements and Exhibits.</w:t>
      </w:r>
      <w:r>
        <w:rPr>
          <w:color w:val="000000"/>
        </w:rPr>
        <w:t xml:space="preserve"> </w:t>
      </w:r>
    </w:p>
    <w:p>
      <w:pPr>
        <w:pStyle w:val="TextBody"/>
        <w:bidi w:val="0"/>
        <w:spacing w:lineRule="auto" w:line="259"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36"/>
        <w:gridCol w:w="296"/>
        <w:gridCol w:w="297"/>
        <w:gridCol w:w="109"/>
        <w:gridCol w:w="109"/>
        <w:gridCol w:w="109"/>
        <w:gridCol w:w="2610"/>
        <w:gridCol w:w="2610"/>
        <w:gridCol w:w="3729"/>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2 to the Anterix Inc. 2023 Stock Plan incorporated by reference from Appendix A to the Company’s Definitive Proxy Statement filed on June 25, 2026 (File No. 001-36827).</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9" w:before="1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59"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49" w:type="dxa"/>
        <w:jc w:val="left"/>
        <w:tblInd w:w="0" w:type="dxa"/>
        <w:tblLayout w:type="fixed"/>
        <w:tblCellMar>
          <w:top w:w="28" w:type="dxa"/>
          <w:left w:w="28" w:type="dxa"/>
          <w:bottom w:w="28" w:type="dxa"/>
          <w:right w:w="28" w:type="dxa"/>
        </w:tblCellMar>
      </w:tblPr>
      <w:tblGrid>
        <w:gridCol w:w="667"/>
        <w:gridCol w:w="587"/>
        <w:gridCol w:w="590"/>
        <w:gridCol w:w="1084"/>
        <w:gridCol w:w="1084"/>
        <w:gridCol w:w="15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Anterix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Dat</w:t>
            </w:r>
            <w:r>
              <w:rPr>
                <w:rFonts w:ascii="Times New Roman;serif" w:hAnsi="Times New Roman;serif"/>
                <w:b w:val="false"/>
                <w:color w:val="000000"/>
                <w:sz w:val="20"/>
                <w:shd w:fill="FFFFFF" w:val="clear"/>
              </w:rPr>
              <w:t>e: August 6, 2026</w:t>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Gena L. Ashe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Gena L. Ashe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tc>
      </w:tr>
    </w:tbl>
    <w:p>
      <w:pPr>
        <w:pStyle w:val="TextBody"/>
        <w:bidi w:val="0"/>
        <w:spacing w:lineRule="auto" w:line="259"/>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1116</Words>
  <Characters>6111</Characters>
  <CharactersWithSpaces>7095</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