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Creede Frank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00"/>
        <w:spacing w:after="0" w:line="331" w:lineRule="auto"/>
        <w:rPr>
          <w:sz w:val="20"/>
          <w:szCs w:val="20"/>
          <w:color w:val="auto"/>
        </w:rPr>
      </w:pPr>
      <w:r>
        <w:rPr>
          <w:rFonts w:ascii="Arial" w:cs="Arial" w:eastAsia="Arial" w:hAnsi="Arial"/>
          <w:sz w:val="18"/>
          <w:szCs w:val="18"/>
          <w:color w:val="0000FF"/>
        </w:rPr>
        <w:t>3 GARRET MOUNTAIN PLAZA SUITE 401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pdvWireless,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PDVW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Technical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WOODLAND</w:t>
            </w:r>
          </w:p>
        </w:tc>
        <w:tc>
          <w:tcPr>
            <w:tcW w:w="960" w:type="dxa"/>
            <w:vAlign w:val="bottom"/>
            <w:vMerge w:val="restart"/>
          </w:tcPr>
          <w:p>
            <w:pPr>
              <w:ind w:left="120"/>
              <w:spacing w:after="0"/>
              <w:rPr>
                <w:sz w:val="20"/>
                <w:szCs w:val="20"/>
                <w:color w:val="auto"/>
              </w:rPr>
            </w:pPr>
            <w:r>
              <w:rPr>
                <w:rFonts w:ascii="Arial" w:cs="Arial" w:eastAsia="Arial" w:hAnsi="Arial"/>
                <w:sz w:val="18"/>
                <w:szCs w:val="18"/>
                <w:color w:val="0000FF"/>
              </w:rPr>
              <w:t>NJ</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07424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PARK</w:t>
            </w:r>
          </w:p>
        </w:tc>
        <w:tc>
          <w:tcPr>
            <w:tcW w:w="9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01/13/2016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6,781</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36,588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Represents the issuance of restricted stock units (the "RSUs"). 25% of the RSUs vest and become exercisable on January 13, 2017 with the remaining shares vesting in 3 equal annual installments thereafter.</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Timothy Gray,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01/15/2016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John Pescatore and Timothy Gray, and each of them individually, his true and lawful attorney-in-fact to:</w:t>
      </w:r>
    </w:p>
    <w:p>
      <w:pPr>
        <w:spacing w:after="0" w:line="209" w:lineRule="exact"/>
        <w:rPr>
          <w:sz w:val="20"/>
          <w:szCs w:val="20"/>
          <w:color w:val="auto"/>
        </w:rPr>
      </w:pPr>
    </w:p>
    <w:p>
      <w:pPr>
        <w:ind w:right="1459" w:firstLine="8"/>
        <w:spacing w:after="0" w:line="273" w:lineRule="auto"/>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director and/or 10% or greater stockholder of pdvWireless, Inc. (formerly Pacific DataVision, Inc.) (the "Company"), any and all Form 3, 4 and 5 reports required to be filed by the undersigned in accordance with Section 16(a) of the Securities Exchange Act of 1934, as amended, and the rules thereunder;</w:t>
      </w:r>
    </w:p>
    <w:p>
      <w:pPr>
        <w:spacing w:after="0" w:line="184"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report and timely file such report with the United States Securities and Exchange Commission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Securities Exchange Act of 1934, as amended.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and 5 reports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January, 2015.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Creede</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 Creede</w:t>
      </w:r>
    </w:p>
    <w:p>
      <w:pPr>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9490" TargetMode="External"/><Relationship Id="rId13" Type="http://schemas.openxmlformats.org/officeDocument/2006/relationships/hyperlink" Target="http://www.sec.gov/cgi-bin/browse-edgar?action=getcompany&amp;CIK=00013044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2019-12-08T03:05:09Z</dcterms:created>
  <dcterms:modified xsi:type="dcterms:W3CDTF">2019-12-08T03:05:09Z</dcterms:modified>
</cp:coreProperties>
</file>