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filed with the Securities and Exchange Commission on August 20, 2026</w:t>
      </w:r>
    </w:p>
    <w:p>
      <w:pPr>
        <w:pStyle w:val="TextBody"/>
        <w:bidi w:val="0"/>
        <w:spacing w:before="0" w:after="0"/>
        <w:jc w:val="center"/>
        <w:rPr/>
      </w:pPr>
      <w:r>
        <w:rPr/>
      </w:r>
    </w:p>
    <w:p>
      <w:pPr>
        <w:pStyle w:val="TextBody"/>
        <w:bidi w:val="0"/>
        <w:spacing w:lineRule="auto" w:line="288" w:before="0" w:after="240"/>
        <w:jc w:val="right"/>
        <w:rPr>
          <w:rFonts w:ascii="Times New Roman;serif" w:hAnsi="Times New Roman;serif"/>
          <w:b/>
          <w:color w:val="000000"/>
          <w:sz w:val="18"/>
        </w:rPr>
      </w:pPr>
      <w:r>
        <w:rPr>
          <w:rFonts w:ascii="Times New Roman;serif" w:hAnsi="Times New Roman;serif"/>
          <w:b/>
          <w:color w:val="000000"/>
          <w:sz w:val="18"/>
        </w:rPr>
        <w:t>Registration No. 333-   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4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REGISTRATION STATEMENT</w:t>
      </w:r>
    </w:p>
    <w:p>
      <w:pPr>
        <w:pStyle w:val="TextBody"/>
        <w:bidi w:val="0"/>
        <w:spacing w:lineRule="auto" w:line="288" w:before="0" w:after="120"/>
        <w:jc w:val="center"/>
        <w:rPr>
          <w:rFonts w:ascii="Times New Roman;serif" w:hAnsi="Times New Roman;serif"/>
          <w:b/>
          <w:i/>
          <w:color w:val="000000"/>
          <w:sz w:val="24"/>
        </w:rPr>
      </w:pPr>
      <w:r>
        <w:rPr>
          <w:rFonts w:ascii="Times New Roman;serif" w:hAnsi="Times New Roman;serif"/>
          <w:b/>
          <w:i/>
          <w:color w:val="000000"/>
          <w:sz w:val="24"/>
        </w:rPr>
        <w:t xml:space="preserve">UNDER </w:t>
        <w:br/>
        <w:t>THE SECURITIES ACT OF 1933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Times New Roman;serif" w:hAnsi="Times New Roman;serif"/>
          <w:b/>
          <w:color w:val="000000"/>
          <w:sz w:val="48"/>
        </w:rPr>
      </w:pPr>
      <w:r>
        <w:rPr>
          <w:rFonts w:ascii="Times New Roman;serif" w:hAnsi="Times New Roman;serif"/>
          <w:b/>
          <w:color w:val="000000"/>
          <w:sz w:val="48"/>
        </w:rPr>
        <w:t>Anterix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before="0" w:after="0"/>
        <w:jc w:val="left"/>
        <w:rPr/>
      </w:pPr>
      <w:r>
        <w:rPr/>
      </w:r>
    </w:p>
    <w:tbl>
      <w:tblPr>
        <w:tblW w:w="4408" w:type="dxa"/>
        <w:jc w:val="left"/>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33-0745043</w:t>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 Garret Mountain Plaza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Suite 401</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Woodland Park, New Jersey</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07424</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Anterix Inc. 2023 Stock Plan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(Full title of the plan) </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Gena Ashe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Chief Legal Officer and Corporate Secretary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Anterix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3 Garret Mountain Plaza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Suite 401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Woodland Park, NJ 07424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(Name and address of agent for service) </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(973) 771-0300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(Telephone number, including area code, of agent for service) </w:t>
      </w:r>
    </w:p>
    <w:p>
      <w:pPr>
        <w:pStyle w:val="TextBody"/>
        <w:bidi w:val="0"/>
        <w:spacing w:lineRule="auto" w:line="288" w:before="240" w:after="240"/>
        <w:jc w:val="center"/>
        <w:rPr>
          <w:rFonts w:ascii="Times New Roman;serif" w:hAnsi="Times New Roman;serif"/>
          <w:b/>
          <w:i/>
          <w:color w:val="000000"/>
          <w:sz w:val="16"/>
        </w:rPr>
      </w:pPr>
      <w:r>
        <w:rPr>
          <w:rFonts w:ascii="Times New Roman;serif" w:hAnsi="Times New Roman;serif"/>
          <w:b/>
          <w:i/>
          <w:color w:val="000000"/>
          <w:sz w:val="16"/>
        </w:rPr>
        <w:t xml:space="preserve">Copy to: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Jeffrey C. Thacker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Gunderson Dettmer Stough Villeneuve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Franklin &amp; Hachigian, LLP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3570 Carmel Mountain Road, Suite 200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San Diego, CA 92130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(858) 436-8000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4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EXPLANATORY NOTE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This Registration Statement on Form S-8 is filed by Anterix Inc. to register an additional 1,000,000 shares of Anterix Inc. common stock available for issuance under the Anterix Inc. 2023 Stock Plan (as amended, the “Plan”). The 1,000,000 shares of common stock being registered on this Registration Statement are in addition to the 250,000 shares of common stock registered pursuant to a Form S-8 Registration Statement, No. 333-273981, filed with the Securities and Exchange Commission on August 14, 2023 (the “2023 Registration Statement”) and the 1,100,000 shares of common stock registered pursuant to a Form S-8 Registration Statement, No. 333-281574, filed with the Securities and Exchange Commission on August 15, 2024 (the “2024 Registration Statement” and, together with the 2023 Registration Statement, the “Prior Registration Statements”).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This Registration Statement relates to securities of the same class as to which the Prior Registration Statements relate and is submitted in accordance with General Instruction E to Form S-8 regarding Registration of Additional Securities. Pursuant to General Instruction E of Form S-8, the contents of the Prior Registration Statements, to the extent relating to the registration of common stock issuable under the Plan, are incorporated herein by reference and made part of this Registration Statement, except as amended, supplemented, or superseded hereby.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the August 8, 2023 effective date of the Plan, no further grants may be made under the Anterix Inc. 2014 Stock Plan (the “2014 Plan”) and shares that are subject to outstanding awards under the 2014 Plan that subsequently are lapsed, expired, terminated, cancelled or forfeited without a distribution of shares will become available for awards under the Plan. Accordingly, shares under the 2014 Plan previously registered pursuant to Registration Statements Nos. 333-201699, 333-209543, 333-215934, 333-222890, 333-229565, 333-236251, and 333-257115 that become available for awards under the Plan in accordance with its terms are also covered by the Prior Registration Statements and this Registration Statement.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PART II </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INFORMATION REQUIRED IN THE REGISTRATION STATEMENT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8. Exhibits.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Incorporated by reference to the Exhibit Index attached hereto. </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Woodland Park, State of New Jersey, on August 20, 2026.</w:t>
      </w:r>
    </w:p>
    <w:tbl>
      <w:tblPr>
        <w:tblW w:w="4209" w:type="dxa"/>
        <w:jc w:val="left"/>
        <w:tblInd w:w="0" w:type="dxa"/>
        <w:tblLayout w:type="fixed"/>
        <w:tblCellMar>
          <w:top w:w="28" w:type="dxa"/>
          <w:left w:w="28" w:type="dxa"/>
          <w:bottom w:w="28" w:type="dxa"/>
          <w:right w:w="28" w:type="dxa"/>
        </w:tblCellMar>
      </w:tblPr>
      <w:tblGrid>
        <w:gridCol w:w="124"/>
        <w:gridCol w:w="109"/>
        <w:gridCol w:w="109"/>
        <w:gridCol w:w="219"/>
        <w:gridCol w:w="219"/>
        <w:gridCol w:w="219"/>
        <w:gridCol w:w="935"/>
        <w:gridCol w:w="935"/>
        <w:gridCol w:w="13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6"/>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ANTERIX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 Scott A. Lang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Scott A. Lang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24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POWER OF ATTORNEY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KNOW ALL PERSONS BY THESE PRESENTS, that each individual whose signature appears below constitutes and appoints Scott A. Lang, Elena Marquez and Gena Ashe, and each and any of them, as his or her true and lawful attorney-in-fact and agent, with full power of substitution and resubstitution, for him or her and in his or her name, place and stead, in any and all capacities, to sign any and all amendments (including post-effective amendments) to this registration statement, and any registration statement relating to the same offering as this registration statement that is to be effective upon filing pursuant to Rule 462(b) of the Securities Act of 1933, and to file the same, with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either of them, or their or his substitute or substitutes, may lawfully do or cause to be done by virtue hereof. </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below by the following persons in the capacities and on the dates indicated.</w:t>
      </w:r>
    </w:p>
    <w:p>
      <w:pPr>
        <w:pStyle w:val="TextBody"/>
        <w:bidi w:val="0"/>
        <w:spacing w:before="0" w:after="0"/>
        <w:jc w:val="left"/>
        <w:rPr/>
      </w:pPr>
      <w:r>
        <w:rPr/>
      </w:r>
    </w:p>
    <w:tbl>
      <w:tblPr>
        <w:tblW w:w="9885" w:type="dxa"/>
        <w:jc w:val="left"/>
        <w:tblInd w:w="0" w:type="dxa"/>
        <w:tblLayout w:type="fixed"/>
        <w:tblCellMar>
          <w:top w:w="28" w:type="dxa"/>
          <w:left w:w="28" w:type="dxa"/>
          <w:bottom w:w="28" w:type="dxa"/>
          <w:right w:w="28" w:type="dxa"/>
        </w:tblCellMar>
      </w:tblPr>
      <w:tblGrid>
        <w:gridCol w:w="761"/>
        <w:gridCol w:w="667"/>
        <w:gridCol w:w="672"/>
        <w:gridCol w:w="2093"/>
        <w:gridCol w:w="2093"/>
        <w:gridCol w:w="2099"/>
        <w:gridCol w:w="438"/>
        <w:gridCol w:w="438"/>
        <w:gridCol w:w="62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Scott A. Lang</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 (Principal Executive Officer)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2026</w:t>
            </w:r>
          </w:p>
        </w:tc>
      </w:tr>
      <w:tr>
        <w:trPr/>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Scott A. Lang</w:t>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28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Elena Marquez</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and Accounting Officer)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2026</w:t>
            </w:r>
          </w:p>
        </w:tc>
      </w:tr>
      <w:tr>
        <w:trPr/>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Elena Marquez</w:t>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28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Thomas Kuhn</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Chairman of the Board</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2026</w:t>
            </w:r>
          </w:p>
        </w:tc>
      </w:tr>
      <w:tr>
        <w:trPr/>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Thomas Kuhn</w:t>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28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A. Altman</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2026</w:t>
            </w:r>
          </w:p>
        </w:tc>
      </w:tr>
      <w:tr>
        <w:trPr/>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A. Altman</w:t>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28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Leslie B. Daniels</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2026</w:t>
            </w:r>
          </w:p>
        </w:tc>
      </w:tr>
      <w:tr>
        <w:trPr/>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Leslie B. Daniels</w:t>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28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Mark A. Fleischhauer</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2026</w:t>
            </w:r>
          </w:p>
        </w:tc>
      </w:tr>
      <w:tr>
        <w:trPr/>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Mark Fleischhauer</w:t>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628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500" w:type="dxa"/>
            <w:gridSpan w:val="3"/>
            <w:tcBorders/>
            <w:tcMar>
              <w:top w:w="0" w:type="dxa"/>
              <w:left w:w="0" w:type="dxa"/>
              <w:bottom w:w="0" w:type="dxa"/>
              <w:right w:w="0" w:type="dxa"/>
            </w:tcMar>
            <w:vAlign w:val="center"/>
          </w:tcPr>
          <w:p>
            <w:pPr>
              <w:pStyle w:val="TableContents"/>
              <w:bidi w:val="0"/>
              <w:spacing w:before="0" w:after="0"/>
              <w:jc w:val="center"/>
              <w:rPr/>
            </w:pPr>
            <w:r>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William E. Heard</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2026</w:t>
            </w:r>
          </w:p>
        </w:tc>
      </w:tr>
      <w:tr>
        <w:trPr/>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Heard</w:t>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Mahvash Yazdi</w:t>
            </w:r>
          </w:p>
        </w:tc>
        <w:tc>
          <w:tcPr>
            <w:tcW w:w="6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 2026</w:t>
            </w:r>
          </w:p>
        </w:tc>
      </w:tr>
      <w:tr>
        <w:trPr/>
        <w:tc>
          <w:tcPr>
            <w:tcW w:w="21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Mahvash Yazdi</w:t>
            </w:r>
          </w:p>
        </w:tc>
        <w:tc>
          <w:tcPr>
            <w:tcW w:w="6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EXHIBIT INDEX </w:t>
      </w:r>
    </w:p>
    <w:tbl>
      <w:tblPr>
        <w:tblW w:w="10205" w:type="dxa"/>
        <w:jc w:val="left"/>
        <w:tblInd w:w="0" w:type="dxa"/>
        <w:tblLayout w:type="fixed"/>
        <w:tblCellMar>
          <w:top w:w="28" w:type="dxa"/>
          <w:left w:w="28" w:type="dxa"/>
          <w:bottom w:w="28" w:type="dxa"/>
          <w:right w:w="28" w:type="dxa"/>
        </w:tblCellMar>
      </w:tblPr>
      <w:tblGrid>
        <w:gridCol w:w="240"/>
        <w:gridCol w:w="210"/>
        <w:gridCol w:w="212"/>
        <w:gridCol w:w="2784"/>
        <w:gridCol w:w="2784"/>
        <w:gridCol w:w="3975"/>
      </w:tblGrid>
      <w:tr>
        <w:trPr/>
        <w:tc>
          <w:tcPr>
            <w:tcW w:w="2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c>
          <w:tcPr>
            <w:tcW w:w="3975" w:type="dxa"/>
            <w:tcBorders/>
            <w:vAlign w:val="center"/>
          </w:tcPr>
          <w:p>
            <w:pPr>
              <w:pStyle w:val="TableContents"/>
              <w:bidi w:val="0"/>
              <w:spacing w:before="0" w:after="283"/>
              <w:jc w:val="left"/>
              <w:rPr>
                <w:sz w:val="4"/>
                <w:szCs w:val="4"/>
              </w:rPr>
            </w:pPr>
            <w:r>
              <w:rPr>
                <w:sz w:val="4"/>
                <w:szCs w:val="4"/>
              </w:rPr>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No.</w:t>
            </w:r>
          </w:p>
        </w:tc>
        <w:tc>
          <w:tcPr>
            <w:tcW w:w="9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6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left"/>
              <w:rPr/>
            </w:pPr>
            <w:hyperlink r:id="rId2">
              <w:r>
                <w:rPr>
                  <w:rStyle w:val="InternetLink"/>
                  <w:rFonts w:ascii="Times New Roman;serif" w:hAnsi="Times New Roman;serif"/>
                  <w:b w:val="false"/>
                  <w:color w:val="0000EE"/>
                  <w:sz w:val="20"/>
                  <w:u w:val="single"/>
                </w:rPr>
                <w:t>Amended and Restated Certificate of Incorporation of the Registrant (incorporated by reference from Exhibit 3.1 of the Registrant’s Registration Statement on Form S-1, filed on December 19, 2014 (Registration No. 333-201156)). </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r:id="rId3">
              <w:r>
                <w:rPr>
                  <w:rStyle w:val="InternetLink"/>
                  <w:rFonts w:ascii="Times New Roman;serif" w:hAnsi="Times New Roman;serif"/>
                  <w:b w:val="false"/>
                  <w:color w:val="0000EE"/>
                  <w:sz w:val="20"/>
                  <w:u w:val="single"/>
                </w:rPr>
                <w:t>Certificate of Amendment No. 1 of Amended and Restated Certificate of Incorporation of the Registrant (incorporated by reference from Exhibit 3.1 of the Registrant’s Current Report on Form 8-K, filed on November 5, 2015 (File No. 001-36827)). </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r:id="rId4">
              <w:r>
                <w:rPr>
                  <w:rStyle w:val="InternetLink"/>
                  <w:rFonts w:ascii="Times New Roman;serif" w:hAnsi="Times New Roman;serif"/>
                  <w:b w:val="false"/>
                  <w:color w:val="0000EE"/>
                  <w:sz w:val="20"/>
                  <w:u w:val="single"/>
                </w:rPr>
                <w:t>Certificate of Amendment No. 2 of Amended and Restated Certificate of Incorporation of the Registrant (incorporated by reference from Exhibit 3.1 of the Registrant’s Current Report on Form 8-K, filed on August 6, 2019 and incorporated herein by reference (File No. 001-36827)). </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r:id="rId5">
              <w:r>
                <w:rPr>
                  <w:rStyle w:val="InternetLink"/>
                  <w:rFonts w:ascii="Times New Roman;serif" w:hAnsi="Times New Roman;serif"/>
                  <w:b w:val="false"/>
                  <w:color w:val="0000EE"/>
                  <w:sz w:val="20"/>
                  <w:u w:val="single"/>
                </w:rPr>
                <w:t>Amended and Restated Bylaws of the Registrant (incorporated by reference from Exhibit 3.1 of the Registrant’s Current Report on Form 8-K, filed on June 27, 2017 (Registration No. 001-36827)). </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r:id="rId6">
              <w:r>
                <w:rPr>
                  <w:rStyle w:val="InternetLink"/>
                  <w:rFonts w:ascii="Times New Roman;serif" w:hAnsi="Times New Roman;serif"/>
                  <w:b w:val="false"/>
                  <w:color w:val="0000EE"/>
                  <w:sz w:val="20"/>
                  <w:u w:val="single"/>
                </w:rPr>
                <w:t>Amendment No. 1 to the Amended and Restated Bylaws of the Registrant (incorporated by reference from Exhibit 3.1 of the Registrant’s Current Report on Form 8-K, filed on May 8, 2020 (File No. 001-36827)). </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r:id="rId7">
              <w:r>
                <w:rPr>
                  <w:rStyle w:val="InternetLink"/>
                  <w:rFonts w:ascii="Times New Roman;serif" w:hAnsi="Times New Roman;serif"/>
                  <w:b w:val="false"/>
                  <w:color w:val="0000EE"/>
                  <w:sz w:val="20"/>
                  <w:u w:val="single"/>
                </w:rPr>
                <w:t>Form of Common Stock Certificate of the Registrant (incorporated by reference from Exhibit 4.1 of the Registrant’s Registration Statement on Form S-1, filed on December 19, 2014 (Registration No. 333-201156)). </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htm">
              <w:r>
                <w:rPr>
                  <w:rStyle w:val="InternetLink"/>
                  <w:rFonts w:ascii="Times New Roman;serif" w:hAnsi="Times New Roman;serif"/>
                  <w:b w:val="false"/>
                  <w:color w:val="0000FF"/>
                  <w:sz w:val="20"/>
                  <w:u w:val="single"/>
                </w:rPr>
                <w:t>Opinion of Gunderson Dettmer Stough Villeneuve Franklin &amp; Hachigian, LLP.</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w:anchor="exhibit51.htm">
              <w:r>
                <w:rPr>
                  <w:rStyle w:val="InternetLink"/>
                  <w:rFonts w:ascii="Times New Roman;serif" w:hAnsi="Times New Roman;serif"/>
                  <w:b w:val="false"/>
                  <w:color w:val="000080"/>
                  <w:sz w:val="20"/>
                  <w:u w:val="single"/>
                </w:rPr>
                <w:t>Consent of Gunderson Dettmer Stough Villeneuve Franklin &amp; Hachigian, LLP (contained in Exhibit 5.1).</w:t>
              </w:r>
            </w:hyperlink>
            <w:hyperlink w:anchor="exhibit51.htm">
              <w:r>
                <w:rPr>
                  <w:rStyle w:val="InternetLink"/>
                  <w:rFonts w:ascii="Times New Roman;serif" w:hAnsi="Times New Roman;serif"/>
                  <w:b w:val="false"/>
                  <w:color w:val="000080"/>
                  <w:sz w:val="20"/>
                  <w:u w:val="single"/>
                </w:rPr>
                <w:t xml:space="preserve"> </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2.htm">
              <w:r>
                <w:rPr>
                  <w:rStyle w:val="InternetLink"/>
                  <w:rFonts w:ascii="Times New Roman;serif" w:hAnsi="Times New Roman;serif"/>
                  <w:b w:val="false"/>
                  <w:color w:val="0000FF"/>
                  <w:sz w:val="20"/>
                  <w:u w:val="single"/>
                </w:rPr>
                <w:t>Consent of Deloitte &amp; Touche LLP.</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*23.3</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233.htm">
              <w:r>
                <w:rPr>
                  <w:rStyle w:val="InternetLink"/>
                  <w:rFonts w:ascii="Times New Roman;serif" w:hAnsi="Times New Roman;serif"/>
                  <w:b w:val="false"/>
                  <w:color w:val="0000FF"/>
                  <w:sz w:val="20"/>
                  <w:u w:val="single"/>
                </w:rPr>
                <w:t>Consent of Grant Thornton LLP.</w:t>
              </w:r>
            </w:hyperlink>
            <w:r>
              <w:rPr>
                <w:color w:val="000000"/>
              </w:rPr>
              <w:t xml:space="preserve"> </w:t>
            </w:r>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w:anchor="ic996cc18194b40d0ae6b12e26048af1f_128">
              <w:r>
                <w:rPr>
                  <w:rStyle w:val="InternetLink"/>
                  <w:rFonts w:ascii="Times New Roman;serif" w:hAnsi="Times New Roman;serif"/>
                  <w:b w:val="false"/>
                  <w:color w:val="000080"/>
                  <w:sz w:val="20"/>
                  <w:u w:val="single"/>
                </w:rPr>
                <w:t>Power of Attorney (contained on the signature page hereto).</w:t>
              </w:r>
            </w:hyperlink>
            <w:hyperlink w:anchor="ic996cc18194b40d0ae6b12e26048af1f_128">
              <w:r>
                <w:rPr>
                  <w:rStyle w:val="InternetLink"/>
                  <w:rFonts w:ascii="Times New Roman;serif" w:hAnsi="Times New Roman;serif"/>
                  <w:b w:val="false"/>
                  <w:color w:val="000080"/>
                  <w:sz w:val="20"/>
                  <w:u w:val="single"/>
                </w:rPr>
                <w:t xml:space="preserve"> </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r:id="rId8">
              <w:r>
                <w:rPr>
                  <w:rStyle w:val="InternetLink"/>
                  <w:rFonts w:ascii="Times New Roman;serif" w:hAnsi="Times New Roman;serif"/>
                  <w:b w:val="false"/>
                  <w:color w:val="0000EE"/>
                  <w:sz w:val="20"/>
                  <w:u w:val="single"/>
                </w:rPr>
                <w:t>Anterix Inc. 2023 Stock Plan (incorporated by reference from Exhibit B of the Registrant’s 2023 Proxy Statement filed on July 14, 2023 (File No. 001-36827)). </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9543"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r:id="rId9">
              <w:r>
                <w:rPr>
                  <w:rStyle w:val="InternetLink"/>
                  <w:rFonts w:ascii="Times New Roman;serif" w:hAnsi="Times New Roman;serif"/>
                  <w:b w:val="false"/>
                  <w:color w:val="0000EE"/>
                  <w:sz w:val="20"/>
                  <w:u w:val="single"/>
                </w:rPr>
                <w:t>Amendment No. 1 to the Anterix Inc. 2023 Stock Plan (incorporated by reference from Exhibit A of the Registrant’s 2024 Proxy Statement filed on July 3, 2024 (File No. 001-36827)). </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9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Amendment No. 2 to the Anterix Inc. 2023 Stock Plan (incorporated by reference from Appendix A of the Registrant’s 2026 Proxy Statement filed on June 25, 2026 (File No. 001-36827)).</w:t>
              </w:r>
            </w:hyperlink>
          </w:p>
        </w:tc>
      </w:tr>
      <w:tr>
        <w:trPr/>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95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0"/>
                  <w:u w:val="single"/>
                </w:rPr>
                <w:t>Filing Fee Table.</w:t>
              </w:r>
            </w:hyperlink>
            <w:r>
              <w:rPr>
                <w:color w:val="000000"/>
              </w:rPr>
              <w:t xml:space="preserve">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(Form Type)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Anterix Inc.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(Exact Name of Registrant as Specified in its Charter)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6"/>
        <w:gridCol w:w="277"/>
        <w:gridCol w:w="279"/>
        <w:gridCol w:w="485"/>
        <w:gridCol w:w="423"/>
        <w:gridCol w:w="425"/>
        <w:gridCol w:w="397"/>
        <w:gridCol w:w="397"/>
        <w:gridCol w:w="399"/>
        <w:gridCol w:w="385"/>
        <w:gridCol w:w="385"/>
        <w:gridCol w:w="386"/>
        <w:gridCol w:w="465"/>
        <w:gridCol w:w="465"/>
        <w:gridCol w:w="466"/>
        <w:gridCol w:w="804"/>
        <w:gridCol w:w="430"/>
        <w:gridCol w:w="431"/>
        <w:gridCol w:w="518"/>
        <w:gridCol w:w="518"/>
        <w:gridCol w:w="179"/>
        <w:gridCol w:w="399"/>
        <w:gridCol w:w="399"/>
        <w:gridCol w:w="577"/>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87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Security Type</w:t>
            </w:r>
          </w:p>
        </w:tc>
        <w:tc>
          <w:tcPr>
            <w:tcW w:w="13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Security Class Title </w:t>
            </w:r>
          </w:p>
        </w:tc>
        <w:tc>
          <w:tcPr>
            <w:tcW w:w="11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 Calculation Rule</w:t>
            </w:r>
          </w:p>
        </w:tc>
        <w:tc>
          <w:tcPr>
            <w:tcW w:w="115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Amount Registered</w:t>
            </w:r>
            <w:r>
              <w:rPr>
                <w:rFonts w:ascii="Times New Roman;serif" w:hAnsi="Times New Roman;serif"/>
                <w:b w:val="false"/>
                <w:color w:val="000000"/>
                <w:sz w:val="13"/>
              </w:rPr>
              <w:t>(a)</w:t>
            </w:r>
          </w:p>
        </w:tc>
        <w:tc>
          <w:tcPr>
            <w:tcW w:w="13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Proposed Maximum Offering Price Per Unit</w:t>
            </w:r>
          </w:p>
        </w:tc>
        <w:tc>
          <w:tcPr>
            <w:tcW w:w="16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Maximum Aggregate Offering Price</w:t>
            </w:r>
          </w:p>
        </w:tc>
        <w:tc>
          <w:tcPr>
            <w:tcW w:w="121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Fee Rate</w:t>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 Registration Fee</w:t>
            </w:r>
          </w:p>
        </w:tc>
      </w:tr>
      <w:tr>
        <w:trPr/>
        <w:tc>
          <w:tcPr>
            <w:tcW w:w="87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13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1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w:t>
            </w:r>
          </w:p>
        </w:tc>
        <w:tc>
          <w:tcPr>
            <w:tcW w:w="115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1,000,000</w:t>
            </w:r>
            <w:r>
              <w:rPr>
                <w:rFonts w:ascii="Times New Roman;serif" w:hAnsi="Times New Roman;serif"/>
                <w:b w:val="false"/>
                <w:color w:val="000000"/>
                <w:sz w:val="13"/>
              </w:rPr>
              <w:t>(b)</w:t>
            </w:r>
          </w:p>
        </w:tc>
        <w:tc>
          <w:tcPr>
            <w:tcW w:w="13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20"/>
              </w:rPr>
              <w:t>$88.505</w:t>
            </w:r>
            <w:r>
              <w:rPr>
                <w:rFonts w:ascii="Times New Roman;serif" w:hAnsi="Times New Roman;serif"/>
                <w:b w:val="false"/>
                <w:color w:val="000000"/>
                <w:sz w:val="13"/>
              </w:rPr>
              <w:t>(c)</w:t>
            </w:r>
          </w:p>
        </w:tc>
        <w:tc>
          <w:tcPr>
            <w:tcW w:w="16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$88,505,000.00</w:t>
            </w:r>
          </w:p>
        </w:tc>
        <w:tc>
          <w:tcPr>
            <w:tcW w:w="103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0.0001381 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$12,222.55</w:t>
            </w:r>
          </w:p>
        </w:tc>
      </w:tr>
      <w:tr>
        <w:trPr/>
        <w:tc>
          <w:tcPr>
            <w:tcW w:w="4554" w:type="dxa"/>
            <w:gridSpan w:val="12"/>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Offering Amounts:</w:t>
            </w:r>
          </w:p>
        </w:tc>
        <w:tc>
          <w:tcPr>
            <w:tcW w:w="13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$88,505,000.00</w:t>
            </w:r>
          </w:p>
        </w:tc>
        <w:tc>
          <w:tcPr>
            <w:tcW w:w="121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$12,222.55</w:t>
            </w:r>
          </w:p>
        </w:tc>
      </w:tr>
      <w:tr>
        <w:trPr/>
        <w:tc>
          <w:tcPr>
            <w:tcW w:w="4554"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Total Fee Offsets:</w:t>
            </w:r>
          </w:p>
        </w:tc>
        <w:tc>
          <w:tcPr>
            <w:tcW w:w="139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w:t>
            </w:r>
          </w:p>
        </w:tc>
      </w:tr>
      <w:tr>
        <w:trPr/>
        <w:tc>
          <w:tcPr>
            <w:tcW w:w="4554" w:type="dxa"/>
            <w:gridSpan w:val="12"/>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Net Fee Due:</w:t>
            </w:r>
          </w:p>
        </w:tc>
        <w:tc>
          <w:tcPr>
            <w:tcW w:w="139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$12,222.55</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3"/>
        <w:gridCol w:w="4063"/>
      </w:tblGrid>
      <w:tr>
        <w:trPr/>
        <w:tc>
          <w:tcPr>
            <w:tcW w:w="3269" w:type="dxa"/>
            <w:tcBorders/>
            <w:vAlign w:val="center"/>
          </w:tcPr>
          <w:p>
            <w:pPr>
              <w:pStyle w:val="TableContents"/>
              <w:bidi w:val="0"/>
              <w:spacing w:before="0" w:after="283"/>
              <w:jc w:val="left"/>
              <w:rPr>
                <w:sz w:val="4"/>
                <w:szCs w:val="4"/>
              </w:rPr>
            </w:pPr>
            <w:r>
              <w:rPr>
                <w:sz w:val="4"/>
                <w:szCs w:val="4"/>
              </w:rPr>
            </w:r>
          </w:p>
        </w:tc>
        <w:tc>
          <w:tcPr>
            <w:tcW w:w="2873" w:type="dxa"/>
            <w:tcBorders/>
            <w:vAlign w:val="center"/>
          </w:tcPr>
          <w:p>
            <w:pPr>
              <w:pStyle w:val="TableContents"/>
              <w:bidi w:val="0"/>
              <w:spacing w:before="0" w:after="283"/>
              <w:jc w:val="left"/>
              <w:rPr>
                <w:sz w:val="4"/>
                <w:szCs w:val="4"/>
              </w:rPr>
            </w:pPr>
            <w:r>
              <w:rPr>
                <w:sz w:val="4"/>
                <w:szCs w:val="4"/>
              </w:rPr>
            </w:r>
          </w:p>
        </w:tc>
        <w:tc>
          <w:tcPr>
            <w:tcW w:w="406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Pursuant to Rule 416 under the Securities Act of 1933, as amended (the “Securities Act”), this registration statement shall be deemed to cover any additional shares of Common Stock, par value $0.0001 per share (“Common Stock”), of Anterix Inc. that may from time to time be offered or issued under the Anterix Inc. 2023 Stock Plan (as amended, the “Plan”) to prevent dilution resulting from stock splits, stock dividends or similar transactions.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This Registration Statement covers the registration of 1,000,000 shares of Common Stock in addition to shares previously registered under Registration Statements Nos. 333-281574, 333-273981, 333-201699, 333-209543, 333-215934, 333-222890, 333-229565, 333-236251, and 333-257115 on Form S-8. See Explanatory Note.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The proposed maximum offering price per share is estimated solely for the purpose of calculating the registration fee pursuant to Rules 457(c) and 457(h) of the Securities Act and based upon the average of the high and low prices of Common Stock as reported on the Nasdaq on August 18, 2026.</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p>
      <w:pPr>
        <w:pStyle w:val="TextBody"/>
        <w:bidi w:val="0"/>
        <w:spacing w:before="0" w:after="0"/>
        <w:jc w:val="left"/>
        <w:rPr/>
      </w:pPr>
      <w:r>
        <w:rPr/>
      </w:r>
    </w:p>
    <w:p>
      <w:pPr>
        <w:pStyle w:val="TextBody"/>
        <w:bidi w:val="0"/>
        <w:spacing w:lineRule="auto" w:line="288" w:before="0" w:after="0"/>
        <w:jc w:val="center"/>
        <w:rPr/>
      </w:pPr>
      <w:r>
        <w:rPr>
          <w:color w:val="000000"/>
        </w:rPr>
        <w:t> </w:t>
      </w:r>
      <w:r>
        <w:rPr/>
        <w:drawing>
          <wp:inline distT="0" distB="0" distL="0" distR="0">
            <wp:extent cx="5943600" cy="87630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11"/>
                    <a:stretch>
                      <a:fillRect/>
                    </a:stretch>
                  </pic:blipFill>
                  <pic:spPr bwMode="auto">
                    <a:xfrm>
                      <a:off x="0" y="0"/>
                      <a:ext cx="5943600" cy="8763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20,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Anterix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Garret Mountain Plaza, Suite 401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Woodland Park, NJ 07424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Ladies and Gentlemen: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We refer to the registration statement on Form S-8 (the “</w:t>
      </w:r>
      <w:r>
        <w:rPr>
          <w:rFonts w:ascii="Times New Roman;serif" w:hAnsi="Times New Roman;serif"/>
          <w:b/>
          <w:i/>
          <w:color w:val="000000"/>
          <w:sz w:val="20"/>
        </w:rPr>
        <w:t>Registration Statement</w:t>
      </w:r>
      <w:r>
        <w:rPr>
          <w:color w:val="000000"/>
        </w:rPr>
        <w:t>”</w:t>
      </w:r>
      <w:r>
        <w:rPr>
          <w:rFonts w:ascii="Times New Roman;serif" w:hAnsi="Times New Roman;serif"/>
          <w:b w:val="false"/>
          <w:color w:val="000000"/>
          <w:sz w:val="20"/>
        </w:rPr>
        <w:t>) to be filed by Anterix Inc., a Delaware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with the Securities and Exchange Commission (the “</w:t>
      </w:r>
      <w:r>
        <w:rPr>
          <w:rFonts w:ascii="Times New Roman;serif" w:hAnsi="Times New Roman;serif"/>
          <w:b/>
          <w:i/>
          <w:color w:val="000000"/>
          <w:sz w:val="20"/>
        </w:rPr>
        <w:t>Commission</w:t>
      </w:r>
      <w:r>
        <w:rPr>
          <w:color w:val="000000"/>
        </w:rPr>
        <w:t>”</w:t>
      </w:r>
      <w:r>
        <w:rPr>
          <w:rFonts w:ascii="Times New Roman;serif" w:hAnsi="Times New Roman;serif"/>
          <w:b w:val="false"/>
          <w:color w:val="000000"/>
          <w:sz w:val="20"/>
        </w:rPr>
        <w:t>) in connection with the registration under the Securities Act of 1933, as amended (the “</w:t>
      </w:r>
      <w:r>
        <w:rPr>
          <w:rFonts w:ascii="Times New Roman;serif" w:hAnsi="Times New Roman;serif"/>
          <w:b/>
          <w:i/>
          <w:color w:val="000000"/>
          <w:sz w:val="20"/>
        </w:rPr>
        <w:t>Act</w:t>
      </w:r>
      <w:r>
        <w:rPr>
          <w:color w:val="000000"/>
        </w:rPr>
        <w:t>”</w:t>
      </w:r>
      <w:r>
        <w:rPr>
          <w:rFonts w:ascii="Times New Roman;serif" w:hAnsi="Times New Roman;serif"/>
          <w:b w:val="false"/>
          <w:color w:val="000000"/>
          <w:sz w:val="20"/>
        </w:rPr>
        <w:t>), of an aggregate of 1,000,000 shares of the Company’s common stock, $0.0001 par value per share (the “</w:t>
      </w:r>
      <w:r>
        <w:rPr>
          <w:rFonts w:ascii="Times New Roman;serif" w:hAnsi="Times New Roman;serif"/>
          <w:b/>
          <w:i/>
          <w:color w:val="000000"/>
          <w:sz w:val="20"/>
        </w:rPr>
        <w:t>Shares</w:t>
      </w:r>
      <w:r>
        <w:rPr>
          <w:color w:val="000000"/>
        </w:rPr>
        <w:t>”</w:t>
      </w:r>
      <w:r>
        <w:rPr>
          <w:rFonts w:ascii="Times New Roman;serif" w:hAnsi="Times New Roman;serif"/>
          <w:b w:val="false"/>
          <w:color w:val="000000"/>
          <w:sz w:val="20"/>
        </w:rPr>
        <w:t>), that are subject to issuance by the Company upon the exercise or settlement of awards granted or to be granted under the Company’s 2023 Stock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this opinion, we have reviewed the actions proposed to be taken by you in connection with the issuance and sale of the Shares to be issued under the Plan. We have also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“DGCL”).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upon and subject to the foregoing, we advise you that, in our opinion, when the Shares have been issued and sold by the Company pursuant to the applicable provisions of the Plan and pursuant to the agreements which accompany the Plan, and in accordance with the Registration Statement, such Shares will be validly issued, fully paid and nonassessable.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pStyle w:val="TextBody"/>
        <w:bidi w:val="0"/>
        <w:spacing w:lineRule="auto" w:line="288" w:before="0" w:after="0"/>
        <w:jc w:val="left"/>
        <w:rPr>
          <w:color w:val="000000"/>
        </w:rPr>
      </w:pPr>
      <w:r>
        <w:rPr>
          <w:color w:val="000000"/>
        </w:rPr>
        <w:t> </w:t>
      </w:r>
    </w:p>
    <w:tbl>
      <w:tblPr>
        <w:tblW w:w="4436" w:type="dxa"/>
        <w:jc w:val="left"/>
        <w:tblInd w:w="0" w:type="dxa"/>
        <w:tblLayout w:type="fixed"/>
        <w:tblCellMar>
          <w:top w:w="28" w:type="dxa"/>
          <w:left w:w="28" w:type="dxa"/>
          <w:bottom w:w="28" w:type="dxa"/>
          <w:right w:w="28" w:type="dxa"/>
        </w:tblCellMar>
      </w:tblPr>
      <w:tblGrid>
        <w:gridCol w:w="124"/>
        <w:gridCol w:w="109"/>
        <w:gridCol w:w="109"/>
        <w:gridCol w:w="1197"/>
        <w:gridCol w:w="1197"/>
        <w:gridCol w:w="170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/s/ Gunderson Dettmer Stough</w:t>
              <w:br/>
              <w:t>Villeneuve Franklin &amp; Hachigian, LLP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GUNDERSON DETTMER STOUGH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VILLENEUVE FRANKLIN &amp; HACHIGIAN,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Exhibit 23.2 </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this Registration Statement on Form S-8 of our report dated June 25, 2026, relating to the financial statements of Anterix Inc. and subsidiaries appearing in the Annual Report on Form 10-K of Anterix Inc for the year ended March 31,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Morristown, New Jersey</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August 20,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23.3</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issued our report dated June 24, 2025 with respect to the consolidated financial statements of Anterix Inc. as of and for the year ended March 31, 2025 included in the Annual Report on Form 10-K for the year ended March 31, 2026, which is incorporated by reference in this Registration Statement. We consent to the incorporation by reference of the aforementioned report in this Registration Statement.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New York, New York</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August 20, 2026</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04492/000119312514448683/d765212dex31.htm" TargetMode="External"/><Relationship Id="rId3" Type="http://schemas.openxmlformats.org/officeDocument/2006/relationships/hyperlink" Target="http://www.sec.gov/Archives/edgar/data/1304492/000130449215000016/pdvw-20151105ex310bb9e73.htm" TargetMode="External"/><Relationship Id="rId4" Type="http://schemas.openxmlformats.org/officeDocument/2006/relationships/hyperlink" Target="http://www.sec.gov/Archives/edgar/data/1304492/000130449219000040/atex-20190806xex3_1.htm" TargetMode="External"/><Relationship Id="rId5" Type="http://schemas.openxmlformats.org/officeDocument/2006/relationships/hyperlink" Target="http://www.sec.gov/Archives/edgar/data/1304492/000130449217000024/pdvw-20170627xex3_1.htm" TargetMode="External"/><Relationship Id="rId6" Type="http://schemas.openxmlformats.org/officeDocument/2006/relationships/hyperlink" Target="http://www.sec.gov/Archives/edgar/data/1304492/000130449220000018/atex-20200508xex3_1.htm" TargetMode="External"/><Relationship Id="rId7" Type="http://schemas.openxmlformats.org/officeDocument/2006/relationships/hyperlink" Target="http://www.sec.gov/Archives/edgar/data/1304492/000119312514448683/d765212dex41.htm" TargetMode="External"/><Relationship Id="rId8" Type="http://schemas.openxmlformats.org/officeDocument/2006/relationships/hyperlink" Target="http://www.sec.gov/Archives/edgar/data/1304492/000130449223000039/atexfy2023proxy.htm" TargetMode="External"/><Relationship Id="rId9" Type="http://schemas.openxmlformats.org/officeDocument/2006/relationships/hyperlink" Target="http://www.sec.gov/Archives/edgar/data/1304492/000130449224000084/atexfy2024proxy.htm" TargetMode="External"/><Relationship Id="rId10" Type="http://schemas.openxmlformats.org/officeDocument/2006/relationships/hyperlink" Target="https://www.sec.gov/ix?doc=/Archives/edgar/data/1304492/000130449226000029/atex-20260625.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2335</Words>
  <Characters>12571</Characters>
  <CharactersWithSpaces>14770</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