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57789.xml.htm"/>
      <w:bookmarkStart w:id="1" w:name="kswkform4_17872577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Heard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HEARD CAPITAL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WACKER DRIVE, SUITE 3650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8"/>
        <w:gridCol w:w="901"/>
        <w:gridCol w:w="771"/>
        <w:gridCol w:w="598"/>
        <w:gridCol w:w="347"/>
        <w:gridCol w:w="843"/>
        <w:gridCol w:w="452"/>
        <w:gridCol w:w="614"/>
        <w:gridCol w:w="1275"/>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3,965</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1,670,338</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Heard Capital LLC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charitable donation of shares to a Donor Advised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by certain investment funds and/or accounts for which Heard Capital LLC serves as investment manager. The Reporting Person is the ultimate beneficial owner of Heard Capital LLC. Each of Heard Capital LLC and the Reporting Person disclaims beneficial ownership of the securities to which this filing relates for purposes of Section 16 of the Securities and Exchange Act of 1934, as amended, except to the extent of his or its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Gena L. Ashe,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5875"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3609</Characters>
  <CharactersWithSpaces>4207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