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59"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59"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59"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w:t>
      </w:r>
    </w:p>
    <w:p>
      <w:pPr>
        <w:pStyle w:val="TextBody"/>
        <w:bidi w:val="0"/>
        <w:spacing w:lineRule="auto" w:line="259" w:before="0" w:after="0"/>
        <w:jc w:val="center"/>
        <w:rPr/>
      </w:pPr>
      <w:r>
        <w:rPr>
          <w:rFonts w:ascii="Times New Roman;serif" w:hAnsi="Times New Roman;serif"/>
          <w:b/>
          <w:color w:val="000000"/>
          <w:sz w:val="20"/>
        </w:rPr>
        <w:t>The Securities Exchange Act of 1934</w:t>
      </w:r>
      <w:r>
        <w:rPr>
          <w:color w:val="000000"/>
        </w:rPr>
        <w:t xml:space="preserve"> </w:t>
      </w:r>
    </w:p>
    <w:p>
      <w:pPr>
        <w:pStyle w:val="TextBody"/>
        <w:bidi w:val="0"/>
        <w:spacing w:lineRule="auto" w:line="259" w:before="240" w:after="283"/>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August 11, 2026</w:t>
      </w:r>
    </w:p>
    <w:p>
      <w:pPr>
        <w:pStyle w:val="TextBody"/>
        <w:bidi w:val="0"/>
        <w:spacing w:lineRule="auto" w:line="259" w:before="240" w:after="283"/>
        <w:jc w:val="center"/>
        <w:rPr>
          <w:rFonts w:ascii="Times New Roman;serif" w:hAnsi="Times New Roman;serif"/>
          <w:b/>
          <w:color w:val="000000"/>
          <w:sz w:val="36"/>
        </w:rPr>
      </w:pPr>
      <w:r>
        <w:rPr>
          <w:rFonts w:ascii="Times New Roman;serif" w:hAnsi="Times New Roman;serif"/>
          <w:b/>
          <w:color w:val="000000"/>
          <w:sz w:val="36"/>
        </w:rPr>
        <w:t>Anterix Inc.</w:t>
      </w:r>
    </w:p>
    <w:p>
      <w:pPr>
        <w:pStyle w:val="TextBody"/>
        <w:bidi w:val="0"/>
        <w:spacing w:lineRule="auto" w:line="259" w:before="24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93" w:type="dxa"/>
        <w:jc w:val="left"/>
        <w:tblInd w:w="0" w:type="dxa"/>
        <w:tblLayout w:type="fixed"/>
        <w:tblCellMar>
          <w:top w:w="28" w:type="dxa"/>
          <w:left w:w="28" w:type="dxa"/>
          <w:bottom w:w="28" w:type="dxa"/>
          <w:right w:w="28" w:type="dxa"/>
        </w:tblCellMar>
      </w:tblPr>
      <w:tblGrid>
        <w:gridCol w:w="829"/>
        <w:gridCol w:w="728"/>
        <w:gridCol w:w="738"/>
        <w:gridCol w:w="109"/>
        <w:gridCol w:w="109"/>
        <w:gridCol w:w="109"/>
        <w:gridCol w:w="762"/>
        <w:gridCol w:w="762"/>
        <w:gridCol w:w="770"/>
        <w:gridCol w:w="109"/>
        <w:gridCol w:w="109"/>
        <w:gridCol w:w="109"/>
        <w:gridCol w:w="482"/>
        <w:gridCol w:w="482"/>
        <w:gridCol w:w="686"/>
      </w:tblGrid>
      <w:tr>
        <w:trPr/>
        <w:tc>
          <w:tcPr>
            <w:tcW w:w="8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001-36827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33-0745043</w:t>
            </w:r>
          </w:p>
        </w:tc>
      </w:tr>
      <w:tr>
        <w:trPr/>
        <w:tc>
          <w:tcPr>
            <w:tcW w:w="229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9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0" w:type="dxa"/>
        <w:jc w:val="left"/>
        <w:tblInd w:w="0" w:type="dxa"/>
        <w:tblLayout w:type="fixed"/>
        <w:tblCellMar>
          <w:top w:w="28" w:type="dxa"/>
          <w:left w:w="28" w:type="dxa"/>
          <w:bottom w:w="28" w:type="dxa"/>
          <w:right w:w="28" w:type="dxa"/>
        </w:tblCellMar>
      </w:tblPr>
      <w:tblGrid>
        <w:gridCol w:w="610"/>
        <w:gridCol w:w="537"/>
        <w:gridCol w:w="537"/>
        <w:gridCol w:w="537"/>
        <w:gridCol w:w="537"/>
        <w:gridCol w:w="540"/>
        <w:gridCol w:w="109"/>
        <w:gridCol w:w="109"/>
        <w:gridCol w:w="109"/>
        <w:gridCol w:w="303"/>
        <w:gridCol w:w="303"/>
        <w:gridCol w:w="429"/>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3 Garret Mountain Plaza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Suite 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07424</w:t>
            </w:r>
          </w:p>
        </w:tc>
      </w:tr>
      <w:tr>
        <w:trPr/>
        <w:tc>
          <w:tcPr>
            <w:tcW w:w="3298" w:type="dxa"/>
            <w:gridSpan w:val="6"/>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Woodland Park, NJ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(973) 771-0300</w:t>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59"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59"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240.14a-12(b))</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left"/>
        <w:tblInd w:w="0" w:type="dxa"/>
        <w:tblLayout w:type="fixed"/>
        <w:tblCellMar>
          <w:top w:w="28" w:type="dxa"/>
          <w:left w:w="28" w:type="dxa"/>
          <w:bottom w:w="28" w:type="dxa"/>
          <w:right w:w="28" w:type="dxa"/>
        </w:tblCellMar>
      </w:tblPr>
      <w:tblGrid>
        <w:gridCol w:w="1097"/>
        <w:gridCol w:w="960"/>
        <w:gridCol w:w="972"/>
        <w:gridCol w:w="539"/>
        <w:gridCol w:w="539"/>
        <w:gridCol w:w="541"/>
        <w:gridCol w:w="1085"/>
        <w:gridCol w:w="1085"/>
        <w:gridCol w:w="1535"/>
      </w:tblGrid>
      <w:tr>
        <w:trPr/>
        <w:tc>
          <w:tcPr>
            <w:tcW w:w="109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left w:w="48" w:type="dxa"/>
              <w:bottom w:w="0" w:type="dxa"/>
              <w:right w:w="48"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29" w:type="dxa"/>
            <w:gridSpan w:val="3"/>
            <w:tcBorders>
              <w:top w:val="single" w:sz="8" w:space="0" w:color="000000"/>
              <w:left w:val="single" w:sz="8" w:space="0" w:color="000000"/>
              <w:bottom w:val="single" w:sz="8" w:space="0" w:color="000000"/>
            </w:tcBorders>
            <w:tcMar>
              <w:top w:w="52" w:type="dxa"/>
              <w:left w:w="48" w:type="dxa"/>
              <w:bottom w:w="3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619" w:type="dxa"/>
            <w:gridSpan w:val="3"/>
            <w:tcBorders>
              <w:top w:val="single" w:sz="8" w:space="0" w:color="000000"/>
              <w:left w:val="single" w:sz="8" w:space="0" w:color="000000"/>
              <w:bottom w:val="single" w:sz="8" w:space="0" w:color="000000"/>
            </w:tcBorders>
            <w:tcMar>
              <w:top w:w="52" w:type="dxa"/>
              <w:left w:w="48" w:type="dxa"/>
              <w:bottom w:w="3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 xml:space="preserve">ATEX </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left w:w="48" w:type="dxa"/>
              <w:bottom w:w="30" w:type="dxa"/>
              <w:right w:w="48"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 xml:space="preserve">The Nasdaq Stock Market LLC </w:t>
            </w:r>
          </w:p>
        </w:tc>
      </w:tr>
    </w:tbl>
    <w:p>
      <w:pPr>
        <w:pStyle w:val="TextBody"/>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59"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25780"/>
                <wp:effectExtent l="0" t="0" r="0" b="0"/>
                <wp:wrapNone/>
                <wp:docPr id="1" name="Frame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9" w:before="240" w:after="283"/>
        <w:ind w:left="0" w:right="0" w:hanging="1440"/>
        <w:jc w:val="left"/>
        <w:rPr/>
      </w:pPr>
      <w:r>
        <w:rPr>
          <w:rFonts w:ascii="Times New Roman;serif" w:hAnsi="Times New Roman;serif"/>
          <w:b/>
          <w:color w:val="000000"/>
          <w:sz w:val="20"/>
        </w:rPr>
        <w:t>Item 2.02 Results of Operations and Financial Condition.</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11, 2026, Anterix Inc. (the “Company”) issued an Earnings Release announcing its first quarter fiscal 2027 financial results for the three months ended June 30, 2026. A copy of the Earnings Release is attached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and in Exhibit 99.1 of Item 9.01 below is being “furnished” pursuant to Item 2.02 of Form 8-K, and shall not be deemed “filed” for purposes of Section 18 of the Securities Exchange Act of 1934, as amended (the “Exchange Act”), or otherwise subject to the liabilities of that Section. Accordingly, the information in Item 2.02 will not be incorporated by reference into any filing under the Securities Act of 1933, as amended, or under the Exchange Act, unless specifically identified therein as being incorporated therein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647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481"/>
        <w:gridCol w:w="1481"/>
        <w:gridCol w:w="210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atex-06302026xpressrelease.htm">
              <w:r>
                <w:rPr>
                  <w:rStyle w:val="InternetLink"/>
                  <w:rFonts w:ascii="Times New Roman;serif" w:hAnsi="Times New Roman;serif"/>
                  <w:b w:val="false"/>
                  <w:color w:val="0000FF"/>
                  <w:sz w:val="20"/>
                  <w:u w:val="single"/>
                </w:rPr>
                <w:t>99.1</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Anterix Inc. Earnings Release, dated August 11,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25780"/>
                <wp:effectExtent l="0" t="0" r="0" b="0"/>
                <wp:wrapNone/>
                <wp:docPr id="2" name="Frame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9" w:before="1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59"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004" w:type="dxa"/>
        <w:jc w:val="left"/>
        <w:tblInd w:w="0" w:type="dxa"/>
        <w:tblLayout w:type="fixed"/>
        <w:tblCellMar>
          <w:top w:w="28" w:type="dxa"/>
          <w:left w:w="28" w:type="dxa"/>
          <w:bottom w:w="28" w:type="dxa"/>
          <w:right w:w="28" w:type="dxa"/>
        </w:tblCellMar>
      </w:tblPr>
      <w:tblGrid>
        <w:gridCol w:w="705"/>
        <w:gridCol w:w="621"/>
        <w:gridCol w:w="624"/>
        <w:gridCol w:w="601"/>
        <w:gridCol w:w="601"/>
        <w:gridCol w:w="85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Anterix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2054"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Elena Marquez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Elena Marquez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25780"/>
                <wp:effectExtent l="0" t="0" r="0" b="0"/>
                <wp:wrapNone/>
                <wp:docPr id="3" name="Frame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409825"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09825" cy="723900"/>
                    </a:xfrm>
                    <a:prstGeom prst="rect">
                      <a:avLst/>
                    </a:prstGeom>
                  </pic:spPr>
                </pic:pic>
              </a:graphicData>
            </a:graphic>
          </wp:inline>
        </w:drawing>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 xml:space="preserve">Anterix Inc. Reports </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First Quarter Fiscal Year 2027 Results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Woodland Park, NJ – </w:t>
      </w:r>
      <w:r>
        <w:rPr>
          <w:rFonts w:ascii="Times New Roman;serif" w:hAnsi="Times New Roman;serif"/>
          <w:b w:val="false"/>
          <w:color w:val="000000"/>
          <w:sz w:val="20"/>
        </w:rPr>
        <w:t>August 11, 2026</w:t>
      </w:r>
      <w:r>
        <w:rPr>
          <w:color w:val="000000"/>
        </w:rPr>
        <w:t xml:space="preserve"> – </w:t>
      </w:r>
      <w:r>
        <w:rPr>
          <w:rFonts w:ascii="Times New Roman;serif" w:hAnsi="Times New Roman;serif"/>
          <w:b w:val="false"/>
          <w:color w:val="000000"/>
          <w:sz w:val="20"/>
        </w:rPr>
        <w:t>Anterix (NASDAQ: ATEX) today announced its first quarter fiscal 2027 results and filed its Form 10-Q for the three months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and Operational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Approximately $33.1 million of contracted proceeds outstanding with more than $15.7 million received from customers during the first quarter of fiscal 2027 and approximately $9.6 million expected to be received during the remainder of fiscal 2027</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April 16, 2026, the Company entered into a 10 MHz 900 MHz spectrum license sale agreement with Benton PUD for a total contract price of $0.8 million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Exchanged narrowband for broadband licenses in 6 counties and recorded a $10.7 million gain on exchange of broadband licenses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Invested $6.7 million in spectrum clearing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Balance Sheet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no debt and cash and cash equivalents of $116.0 million. In addition, the Company had a restricted cash balance of $3.9 million in escrow deposits.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an authorized share repurchase program for up to $250.0 million of the Company’s common stock on or before September 21, 2026. In fiscal 2027 first quarter, Anterix had no share repurchase activity. As of June 30, 2026, $226.7 million remained available under the share repurchase program.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Anterix senior management will hold an analyst and investor conference call to provide a business update at 9:00 A.M. ET on Wednesday, August 12, 2026. Participants interested in joining the call’s live question and answer session are required to pre-register by clicking on the following link https://bit.ly/anterixQ1FY27 to obtain a dial-in number and unique PIN. It is recommended that you join the call at least 10 minutes before the conference call begins. The call is also being webcast live and will be accessible on the Investor Relations section of Anterix’s website at https://investors.anterix.com/events-presentations. Following the event, a replay of the call will also be available on the Anterix website.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About Anterix Inc.</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Anterix is transforming how critical infrastructure stays connected. As the market leader in mission-critical private wireless broadband spectrum for the utility sector, Anterix delivers more secure, private 900 MHz licensed spectrum and advanced intelligent infrastructure solutions that enhance efficiency, strengthen resilience, and accelerate digital transformation. Backed by a growing ecosystem of industry-leading partners, Anterix provides the connectivity foundation that powers a more resourceful and resilient future. Learn more at www.anterix.com.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contained in this press release constitute forward-looking statements within the meaning of the federal securities laws that involve risks and uncertainties. Forward-looking statements include, without limitation, any statement that may predict, forecast, indicate or imply future events or achievements such as statements in this press release related to Anterix’s business, financial results, outlook, regulatory actions or opportunities. Actual events or results may differ materially from those contemplated in this press release. Forward-looking statements speak only as of the date they are made and readers are cautioned not to put undue reliance on such statements, as they are subject to a number of risks and uncertainties that could cause Anterix’s actual future results to differ materially from results indicated in the forward-looking statement. Such statements are based on assumptions that could cause actual results to differ materially from those in the forward-looking statements, including: (i) the timing of payments under customer agreements; (ii) Anterix’s ability to clear the 900 MHz Broadband Spectrum on a timely basis and on commercially reasonable terms; (iii) Anterix’s ability to timely secure broadband licenses; (iv) Anterix’s ability to successfully commercialize its spectrum assets and services to its targeted utility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in accordance with its plans and expectations; (v) Anterix’s ability to execute on its customer engagement initiatives; and (vi) competition in the market for spectrum and spectrum solutions offered by Anterix. Actual events or results may differ materially from those contemplated in this press release. Anterix’s filings with the Securities and Exchange Commission (“SEC”), which you may obtain for free at the SEC’s website at http://www.sec.gov, discuss some of the important risk factors that may affect the Company’s financial outlook, business, results of operations and financial condition. Anterix undertakes no obligation to update publicly or revise any forward-looking statements contained herein.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Shareholder Contact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Natasha Vecchiarelli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VP, Investor Relations &amp; Corporate Communications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Anterix </w:t>
      </w:r>
    </w:p>
    <w:p>
      <w:pPr>
        <w:pStyle w:val="TextBody"/>
        <w:bidi w:val="0"/>
        <w:spacing w:lineRule="auto" w:line="268" w:before="0" w:after="0"/>
        <w:jc w:val="left"/>
        <w:rPr/>
      </w:pPr>
      <w:r>
        <w:rPr>
          <w:rFonts w:ascii="Times New Roman;serif" w:hAnsi="Times New Roman;serif"/>
          <w:b w:val="false"/>
          <w:color w:val="000000"/>
          <w:sz w:val="20"/>
        </w:rPr>
        <w:t>nvecchiarelli@anterix.com</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Anterix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Earnings Release Tables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49"/>
        <w:gridCol w:w="2260"/>
        <w:gridCol w:w="2218"/>
        <w:gridCol w:w="347"/>
        <w:gridCol w:w="387"/>
        <w:gridCol w:w="394"/>
        <w:gridCol w:w="109"/>
        <w:gridCol w:w="109"/>
        <w:gridCol w:w="109"/>
        <w:gridCol w:w="394"/>
        <w:gridCol w:w="343"/>
        <w:gridCol w:w="486"/>
      </w:tblGrid>
      <w:tr>
        <w:trPr/>
        <w:tc>
          <w:tcPr>
            <w:tcW w:w="304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7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7"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116,010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98,533</w:t>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Spectrum receivable</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10,638</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Broadband licenses held for sale</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Escrow deposits</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6,130</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4,684</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153,078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119,985</w:t>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net</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4,069</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310,285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310,712</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broadband costs</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29,503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29,069</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497,925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465,210</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347"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15,028</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 and other related charges</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2,810</w:t>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1,424</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liability</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14,513</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31,546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35,995</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2,995</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liability</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160,582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146,665</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gain on sale of intangible assets</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4,911</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6,323</w:t>
            </w:r>
          </w:p>
        </w:tc>
      </w:tr>
      <w:tr>
        <w:trPr/>
        <w:tc>
          <w:tcPr>
            <w:tcW w:w="75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212,131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202,889</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12)</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per share, 10,000,000 shares authorized and no shares outstanding at June 30, 2026 and March 31, 2026</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100,000,000 shares authorized and 19,550,348 shares issued and outstanding at June 30, 2026 and 18,914,271 shares issued and outstanding at March 31, 2026</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587,850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564,617</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(302,058)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(302,298)</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285,794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262,321</w:t>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497,925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465,210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Anterix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Earnings Release Tables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Operations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85"/>
        <w:gridCol w:w="2089"/>
        <w:gridCol w:w="2106"/>
        <w:gridCol w:w="275"/>
        <w:gridCol w:w="806"/>
        <w:gridCol w:w="109"/>
        <w:gridCol w:w="109"/>
        <w:gridCol w:w="109"/>
        <w:gridCol w:w="109"/>
        <w:gridCol w:w="244"/>
        <w:gridCol w:w="837"/>
        <w:gridCol w:w="109"/>
        <w:gridCol w:w="109"/>
        <w:gridCol w:w="109"/>
        <w:gridCol w:w="109"/>
        <w:gridCol w:w="109"/>
        <w:gridCol w:w="109"/>
        <w:gridCol w:w="109"/>
        <w:gridCol w:w="109"/>
        <w:gridCol w:w="155"/>
      </w:tblGrid>
      <w:tr>
        <w:trPr/>
        <w:tc>
          <w:tcPr>
            <w:tcW w:w="2385"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Spectrum revenue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10,449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support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related charges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13,806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exchange of intangible assets, net</w:t>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(33,916)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intangible assets, net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disposal of long-lived assets, net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22,481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22,923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basic</w:t>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diluted</w:t>
            </w:r>
          </w:p>
        </w:tc>
        <w:tc>
          <w:tcPr>
            <w:tcW w:w="275"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 compute basic net income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19,085,714 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18,621,701 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 compute diluted net income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19,627,512 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18,704,131 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Anterix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Earnings Release Tables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608"/>
        <w:gridCol w:w="2283"/>
        <w:gridCol w:w="2287"/>
        <w:gridCol w:w="211"/>
        <w:gridCol w:w="841"/>
        <w:gridCol w:w="109"/>
        <w:gridCol w:w="109"/>
        <w:gridCol w:w="109"/>
        <w:gridCol w:w="109"/>
        <w:gridCol w:w="211"/>
        <w:gridCol w:w="736"/>
        <w:gridCol w:w="109"/>
        <w:gridCol w:w="109"/>
        <w:gridCol w:w="109"/>
        <w:gridCol w:w="109"/>
        <w:gridCol w:w="156"/>
      </w:tblGrid>
      <w:tr>
        <w:trPr/>
        <w:tc>
          <w:tcPr>
            <w:tcW w:w="2608"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exchange of intangible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intangible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disposal of long-lived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Non-trade receivable</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 and other related charges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 and other related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spectrum</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withholding tax on net issuance of restricted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the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104,663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end of the period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119,920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48,577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8714" w:type="dxa"/>
        <w:jc w:val="center"/>
        <w:tblInd w:w="0" w:type="dxa"/>
        <w:tblLayout w:type="fixed"/>
        <w:tblCellMar>
          <w:top w:w="28" w:type="dxa"/>
          <w:left w:w="28" w:type="dxa"/>
          <w:bottom w:w="28" w:type="dxa"/>
          <w:right w:w="28" w:type="dxa"/>
        </w:tblCellMar>
      </w:tblPr>
      <w:tblGrid>
        <w:gridCol w:w="2178"/>
        <w:gridCol w:w="1917"/>
        <w:gridCol w:w="1920"/>
        <w:gridCol w:w="228"/>
        <w:gridCol w:w="505"/>
        <w:gridCol w:w="118"/>
        <w:gridCol w:w="118"/>
        <w:gridCol w:w="118"/>
        <w:gridCol w:w="118"/>
        <w:gridCol w:w="228"/>
        <w:gridCol w:w="667"/>
        <w:gridCol w:w="118"/>
        <w:gridCol w:w="109"/>
        <w:gridCol w:w="109"/>
        <w:gridCol w:w="109"/>
        <w:gridCol w:w="154"/>
      </w:tblGrid>
      <w:tr>
        <w:trPr/>
        <w:tc>
          <w:tcPr>
            <w:tcW w:w="217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w:t>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including excise tax</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paid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activity:</w:t>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change in estimated asset retirement obligations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contingent liability related to sale of intangible assets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new leases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modifications and renewals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94"/>
        <w:gridCol w:w="646"/>
        <w:gridCol w:w="646"/>
        <w:gridCol w:w="646"/>
        <w:gridCol w:w="646"/>
        <w:gridCol w:w="646"/>
        <w:gridCol w:w="1266"/>
        <w:gridCol w:w="1003"/>
        <w:gridCol w:w="646"/>
        <w:gridCol w:w="646"/>
        <w:gridCol w:w="646"/>
        <w:gridCol w:w="109"/>
        <w:gridCol w:w="109"/>
        <w:gridCol w:w="109"/>
        <w:gridCol w:w="412"/>
        <w:gridCol w:w="343"/>
        <w:gridCol w:w="492"/>
      </w:tblGrid>
      <w:tr>
        <w:trPr/>
        <w:tc>
          <w:tcPr>
            <w:tcW w:w="119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8631" w:type="dxa"/>
            <w:gridSpan w:val="11"/>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cash and cash equivalents and restricted cash reported on the Consolidated Balance Sheets that sum to the total of the same such amounts on the Consolidated Statements of Cash Flows:</w:t>
            </w:r>
          </w:p>
        </w:tc>
        <w:tc>
          <w:tcPr>
            <w:tcW w:w="1574" w:type="dxa"/>
            <w:gridSpan w:val="6"/>
            <w:tcBorders/>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116,010</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98,533</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Escrow deposits</w:t>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119,920</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104,663</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41,432</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47,374</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Escrow deposits</w:t>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48,577</w:t>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55,024</w:t>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2108</Words>
  <Characters>11911</Characters>
  <CharactersWithSpaces>13684</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