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ALTMAN JEFFREY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OWL CREEK ASSET MANAGEMENT,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0"/>
        <w:gridCol w:w="904"/>
        <w:gridCol w:w="774"/>
        <w:gridCol w:w="600"/>
        <w:gridCol w:w="343"/>
        <w:gridCol w:w="871"/>
        <w:gridCol w:w="438"/>
        <w:gridCol w:w="601"/>
        <w:gridCol w:w="1259"/>
        <w:gridCol w:w="978"/>
        <w:gridCol w:w="10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1,598</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17,014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(2)(5)</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124,492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(3)(5)</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5,411,776</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ALTMAN JEFFREY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OWL CREEK ASSET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Owl Creek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 FIFTH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will vest on the earlier of the 2027 Annual Meeting of shareholders and August 4, 2027, subject to the terms of the Restricted Stock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granted to Jeffrey Altman ("Mr. Altman" or the "Reporting Person") as compensation for his services as a non-employee director on the Issuer's board of directors. Mr. Altman may be deemed to hold the securities reported herein for the benefit of certain funds (the "Owl Creek Funds") to which Owl Creek Asset Management, L.P., a Delaware limited partnership (the "Investment Manager"), serves as investment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directly held by Mr. Altman.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by the Owl Creek Funds. Mr. Altman is the managing member of the general partner of the Investment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Investment Manager and Mr. Altman disclaims beneficial ownership of the securities to which this filing relates for purposes of Section 16 of the Securities and Exchange Act of 1934, as amended, except to the extent of his or its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Investment Manager may be deemed to be a director by deputization for purposes of Section 16 under the Securities Exchange Act of 1934 by virtue of the fact that Mr. Altman currently serves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Jeffrey A. Altman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Owl Creek Asset Management, L.P. Owl Creek Asset Management, L.P. By: /s/ Jeffrey A. Altman,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9751"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69751" TargetMode="External"/><Relationship Id="rId10" Type="http://schemas.openxmlformats.org/officeDocument/2006/relationships/hyperlink" Target="http://www.sec.gov/cgi-bin/browse-edgar?action=getcompany&amp;CIK=0001313756"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887</Words>
  <Characters>4706</Characters>
  <CharactersWithSpaces>5483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