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892643.xml.htm"/>
      <w:bookmarkStart w:id="1" w:name="kswkform4_17918926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Marquez Elena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GARRET MOUNTAIN PLAZA, SUITE 401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WOODLAND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07424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Anterix Inc.</w:t>
              </w:r>
            </w:hyperlink>
            <w:r>
              <w:rPr/>
              <w:t xml:space="preserve"> [ </w:t>
            </w:r>
            <w:r>
              <w:rPr>
                <w:rFonts w:ascii="Times;serif" w:hAnsi="Times;serif"/>
                <w:color w:val="0000FF"/>
                <w:sz w:val="24"/>
                <w:shd w:fill="FFFFFF" w:val="clear"/>
              </w:rPr>
              <w:t>ATEX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80.1627</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13,104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81.8</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12,704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13,831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80.2247</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81.8993</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of shares was effected pursuant to a Rule 10b5-1 trading plan adopted by the Reporting Person on June 22,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$80.00 to $80.53,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$81.45 to $82.00,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$81.765 to $82.00,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shares vest and become exercisable in three equal annual installments beginning on October 4,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Gena L. Ashe,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90789" TargetMode="External"/><Relationship Id="rId5" Type="http://schemas.openxmlformats.org/officeDocument/2006/relationships/hyperlink" Target="http://www.sec.gov/cgi-bin/browse-edgar?action=getcompany&amp;CIK=00013044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900</Words>
  <Characters>4752</Characters>
  <CharactersWithSpaces>5528</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