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80"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March 31, 2026</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Anterix Inc.</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98" w:lineRule="exact"/>
        <w:rPr>
          <w:sz w:val="24"/>
          <w:szCs w:val="24"/>
          <w:color w:val="auto"/>
        </w:rPr>
      </w:pPr>
    </w:p>
    <w:tbl>
      <w:tblPr>
        <w:tblLayout w:type="fixed"/>
        <w:tblInd w:w="960" w:type="dxa"/>
        <w:tblCellMar>
          <w:top w:w="0" w:type="dxa"/>
          <w:left w:w="0" w:type="dxa"/>
          <w:bottom w:w="0" w:type="dxa"/>
          <w:right w:w="0" w:type="dxa"/>
        </w:tblCellMar>
      </w:tblPr>
      <w:tr>
        <w:trPr>
          <w:trHeight w:val="186"/>
        </w:trPr>
        <w:tc>
          <w:tcPr>
            <w:tcW w:w="3100" w:type="dxa"/>
            <w:vAlign w:val="bottom"/>
          </w:tcPr>
          <w:p>
            <w:pPr>
              <w:jc w:val="center"/>
              <w:ind w:right="15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60" w:type="dxa"/>
            <w:vAlign w:val="bottom"/>
          </w:tcPr>
          <w:p>
            <w:pPr>
              <w:jc w:val="right"/>
              <w:ind w:right="1569"/>
              <w:spacing w:after="0"/>
              <w:rPr>
                <w:sz w:val="20"/>
                <w:szCs w:val="20"/>
                <w:color w:val="auto"/>
              </w:rPr>
            </w:pPr>
            <w:r>
              <w:rPr>
                <w:rFonts w:ascii="Times New Roman" w:cs="Times New Roman" w:eastAsia="Times New Roman" w:hAnsi="Times New Roman"/>
                <w:sz w:val="14"/>
                <w:szCs w:val="14"/>
                <w:b w:val="1"/>
                <w:bCs w:val="1"/>
                <w:color w:val="auto"/>
              </w:rPr>
              <w:t>001-36827</w:t>
            </w:r>
          </w:p>
        </w:tc>
        <w:tc>
          <w:tcPr>
            <w:tcW w:w="250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33-0745043</w:t>
            </w:r>
          </w:p>
        </w:tc>
        <w:tc>
          <w:tcPr>
            <w:tcW w:w="0" w:type="dxa"/>
            <w:vAlign w:val="bottom"/>
          </w:tcPr>
          <w:p>
            <w:pPr>
              <w:spacing w:after="0"/>
              <w:rPr>
                <w:sz w:val="1"/>
                <w:szCs w:val="1"/>
                <w:color w:val="auto"/>
              </w:rPr>
            </w:pPr>
          </w:p>
        </w:tc>
      </w:tr>
      <w:tr>
        <w:trPr>
          <w:trHeight w:val="191"/>
        </w:trPr>
        <w:tc>
          <w:tcPr>
            <w:tcW w:w="3100" w:type="dxa"/>
            <w:vAlign w:val="bottom"/>
          </w:tcPr>
          <w:p>
            <w:pPr>
              <w:jc w:val="center"/>
              <w:ind w:right="152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356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(Commission File Number)</w:t>
            </w:r>
          </w:p>
        </w:tc>
        <w:tc>
          <w:tcPr>
            <w:tcW w:w="250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91"/>
        </w:trPr>
        <w:tc>
          <w:tcPr>
            <w:tcW w:w="3100" w:type="dxa"/>
            <w:vAlign w:val="bottom"/>
          </w:tcPr>
          <w:p>
            <w:pPr>
              <w:jc w:val="center"/>
              <w:ind w:right="1549"/>
              <w:spacing w:after="0"/>
              <w:rPr>
                <w:sz w:val="20"/>
                <w:szCs w:val="20"/>
                <w:color w:val="auto"/>
              </w:rPr>
            </w:pPr>
            <w:r>
              <w:rPr>
                <w:rFonts w:ascii="Times New Roman" w:cs="Times New Roman" w:eastAsia="Times New Roman" w:hAnsi="Times New Roman"/>
                <w:sz w:val="14"/>
                <w:szCs w:val="14"/>
                <w:color w:val="auto"/>
              </w:rPr>
              <w:t>of incorporation)</w:t>
            </w:r>
          </w:p>
        </w:tc>
        <w:tc>
          <w:tcPr>
            <w:tcW w:w="3560" w:type="dxa"/>
            <w:vAlign w:val="bottom"/>
          </w:tcPr>
          <w:p>
            <w:pPr>
              <w:spacing w:after="0"/>
              <w:rPr>
                <w:sz w:val="16"/>
                <w:szCs w:val="16"/>
                <w:color w:val="auto"/>
              </w:rPr>
            </w:pPr>
          </w:p>
        </w:tc>
        <w:tc>
          <w:tcPr>
            <w:tcW w:w="250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9"/>
              </w:rPr>
              <w:t>Identification No.)</w:t>
            </w:r>
          </w:p>
        </w:tc>
        <w:tc>
          <w:tcPr>
            <w:tcW w:w="0" w:type="dxa"/>
            <w:vAlign w:val="bottom"/>
          </w:tcPr>
          <w:p>
            <w:pPr>
              <w:spacing w:after="0"/>
              <w:rPr>
                <w:sz w:val="1"/>
                <w:szCs w:val="1"/>
                <w:color w:val="auto"/>
              </w:rPr>
            </w:pPr>
          </w:p>
        </w:tc>
      </w:tr>
      <w:tr>
        <w:trPr>
          <w:trHeight w:val="419"/>
        </w:trPr>
        <w:tc>
          <w:tcPr>
            <w:tcW w:w="31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 Garret Mountain Plaza</w:t>
            </w:r>
          </w:p>
        </w:tc>
        <w:tc>
          <w:tcPr>
            <w:tcW w:w="3560" w:type="dxa"/>
            <w:vAlign w:val="bottom"/>
          </w:tcPr>
          <w:p>
            <w:pPr>
              <w:spacing w:after="0"/>
              <w:rPr>
                <w:sz w:val="24"/>
                <w:szCs w:val="24"/>
                <w:color w:val="auto"/>
              </w:rPr>
            </w:pPr>
          </w:p>
        </w:tc>
        <w:tc>
          <w:tcPr>
            <w:tcW w:w="2500" w:type="dxa"/>
            <w:vAlign w:val="bottom"/>
            <w:vMerge w:val="restart"/>
          </w:tcPr>
          <w:p>
            <w:pPr>
              <w:jc w:val="right"/>
              <w:ind w:right="1409"/>
              <w:spacing w:after="0"/>
              <w:rPr>
                <w:sz w:val="20"/>
                <w:szCs w:val="20"/>
                <w:color w:val="auto"/>
              </w:rPr>
            </w:pPr>
            <w:r>
              <w:rPr>
                <w:rFonts w:ascii="Times New Roman" w:cs="Times New Roman" w:eastAsia="Times New Roman" w:hAnsi="Times New Roman"/>
                <w:sz w:val="14"/>
                <w:szCs w:val="14"/>
                <w:b w:val="1"/>
                <w:bCs w:val="1"/>
                <w:color w:val="auto"/>
              </w:rPr>
              <w:t>07424</w:t>
            </w:r>
          </w:p>
        </w:tc>
        <w:tc>
          <w:tcPr>
            <w:tcW w:w="0" w:type="dxa"/>
            <w:vAlign w:val="bottom"/>
          </w:tcPr>
          <w:p>
            <w:pPr>
              <w:spacing w:after="0"/>
              <w:rPr>
                <w:sz w:val="1"/>
                <w:szCs w:val="1"/>
                <w:color w:val="auto"/>
              </w:rPr>
            </w:pPr>
          </w:p>
        </w:tc>
      </w:tr>
      <w:tr>
        <w:trPr>
          <w:trHeight w:val="149"/>
        </w:trPr>
        <w:tc>
          <w:tcPr>
            <w:tcW w:w="3100" w:type="dxa"/>
            <w:vAlign w:val="bottom"/>
          </w:tcPr>
          <w:p>
            <w:pPr>
              <w:jc w:val="center"/>
              <w:ind w:left="509"/>
              <w:spacing w:after="0" w:line="149" w:lineRule="exact"/>
              <w:rPr>
                <w:sz w:val="20"/>
                <w:szCs w:val="20"/>
                <w:color w:val="auto"/>
              </w:rPr>
            </w:pPr>
            <w:r>
              <w:rPr>
                <w:rFonts w:ascii="Times New Roman" w:cs="Times New Roman" w:eastAsia="Times New Roman" w:hAnsi="Times New Roman"/>
                <w:sz w:val="14"/>
                <w:szCs w:val="14"/>
                <w:b w:val="1"/>
                <w:bCs w:val="1"/>
                <w:color w:val="auto"/>
              </w:rPr>
              <w:t>Suite 401</w:t>
            </w:r>
          </w:p>
        </w:tc>
        <w:tc>
          <w:tcPr>
            <w:tcW w:w="356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Woodland Park, NJ</w:t>
            </w:r>
          </w:p>
        </w:tc>
        <w:tc>
          <w:tcPr>
            <w:tcW w:w="35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0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60" w:type="dxa"/>
            <w:vAlign w:val="bottom"/>
          </w:tcPr>
          <w:p>
            <w:pPr>
              <w:spacing w:after="0"/>
              <w:rPr>
                <w:sz w:val="17"/>
                <w:szCs w:val="17"/>
                <w:color w:val="auto"/>
              </w:rPr>
            </w:pPr>
          </w:p>
        </w:tc>
        <w:tc>
          <w:tcPr>
            <w:tcW w:w="2500" w:type="dxa"/>
            <w:vAlign w:val="bottom"/>
          </w:tcPr>
          <w:p>
            <w:pPr>
              <w:jc w:val="center"/>
              <w:ind w:right="72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3560" w:type="dxa"/>
            <w:vAlign w:val="bottom"/>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(973) 771-0300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6"/>
                <w:szCs w:val="16"/>
                <w:color w:val="auto"/>
              </w:rPr>
            </w:pPr>
          </w:p>
        </w:tc>
        <w:tc>
          <w:tcPr>
            <w:tcW w:w="356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 w:lineRule="exact"/>
        <w:rPr>
          <w:rFonts w:ascii="MS PGothic" w:cs="MS PGothic" w:eastAsia="MS PGothic" w:hAnsi="MS PGothic"/>
          <w:sz w:val="14"/>
          <w:szCs w:val="14"/>
          <w:color w:val="auto"/>
        </w:rPr>
      </w:pPr>
    </w:p>
    <w:p>
      <w:pPr>
        <w:ind w:left="160" w:hanging="155"/>
        <w:spacing w:after="0" w:line="221" w:lineRule="auto"/>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240.14a-12(b))</w:t>
      </w:r>
    </w:p>
    <w:p>
      <w:pPr>
        <w:ind w:left="160" w:hanging="155"/>
        <w:spacing w:after="0" w:line="221" w:lineRule="auto"/>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ind w:left="160" w:hanging="155"/>
        <w:spacing w:after="0" w:line="237" w:lineRule="auto"/>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7"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Trading symbol</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$0.0001 par value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ATEX</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2"/>
        </w:trPr>
        <w:tc>
          <w:tcPr>
            <w:tcW w:w="454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r>
    </w:tbl>
    <w:p>
      <w:pPr>
        <w:spacing w:after="0" w:line="49" w:lineRule="exact"/>
        <w:rPr>
          <w:sz w:val="24"/>
          <w:szCs w:val="24"/>
          <w:color w:val="auto"/>
        </w:rPr>
      </w:pPr>
    </w:p>
    <w:p>
      <w:pPr>
        <w:ind w:right="420"/>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7" w:lineRule="exact"/>
        <w:rPr>
          <w:sz w:val="24"/>
          <w:szCs w:val="24"/>
          <w:color w:val="auto"/>
        </w:rPr>
      </w:pPr>
    </w:p>
    <w:p>
      <w:pPr>
        <w:ind w:right="22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674370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81"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On April 6, 2026, Anterix Inc. (the “Company”) announced that its wholly-owned subsidiary, PDV Spectrum Holding Company, LLC (“PDV”), entered into a spectrum license sale agreement with NorthWestern Energy (“NWE”) under which PDV sold to NWE 900 MHz broadband licenses (in a 6 MHz broadband configuration for nine (9) counties and a 10 MHz broadband configuration for the remaining counties) covering portions of Montana, South Dakota, and Wyoming, following FCC issuance of broadband licenses transferable from Anterix to NWE.</w:t>
      </w:r>
    </w:p>
    <w:p>
      <w:pPr>
        <w:spacing w:after="0" w:line="157"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4"/>
          <w:szCs w:val="14"/>
          <w:color w:val="auto"/>
        </w:rPr>
        <w:t>The Company issued a press release announcing the NWE Agreement. A copy of the press release and a Fact Sheet containing additional information regarding the material terms of the NWE Agreement are being filed as Exhibit 99.1 and Exhibit 99.2 to this Current Report on Form 8-K, respectively, and each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80" w:type="dxa"/>
            <w:vAlign w:val="bottom"/>
          </w:tcPr>
          <w:p>
            <w:pPr>
              <w:spacing w:after="0"/>
              <w:rPr>
                <w:sz w:val="16"/>
                <w:szCs w:val="16"/>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0"/>
        </w:trPr>
        <w:tc>
          <w:tcPr>
            <w:tcW w:w="2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99.1</w:t>
            </w:r>
          </w:p>
        </w:tc>
        <w:tc>
          <w:tcPr>
            <w:tcW w:w="780" w:type="dxa"/>
            <w:vAlign w:val="bottom"/>
          </w:tcPr>
          <w:p>
            <w:pPr>
              <w:spacing w:after="0"/>
              <w:rPr>
                <w:sz w:val="12"/>
                <w:szCs w:val="12"/>
                <w:color w:val="auto"/>
              </w:rPr>
            </w:pPr>
          </w:p>
        </w:tc>
        <w:tc>
          <w:tcPr>
            <w:tcW w:w="778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0000FF"/>
              </w:rPr>
              <w:t>Press Release dated April 6, 2026</w:t>
            </w:r>
          </w:p>
        </w:tc>
      </w:tr>
      <w:tr>
        <w:trPr>
          <w:trHeight w:val="160"/>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99.2</w:t>
            </w:r>
          </w:p>
        </w:tc>
        <w:tc>
          <w:tcPr>
            <w:tcW w:w="780" w:type="dxa"/>
            <w:vAlign w:val="bottom"/>
          </w:tcPr>
          <w:p>
            <w:pPr>
              <w:spacing w:after="0"/>
              <w:rPr>
                <w:sz w:val="13"/>
                <w:szCs w:val="13"/>
                <w:color w:val="auto"/>
              </w:rPr>
            </w:pPr>
          </w:p>
        </w:tc>
        <w:tc>
          <w:tcPr>
            <w:tcW w:w="19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Fact Sheet dated April 6, 2026</w:t>
            </w:r>
          </w:p>
        </w:tc>
        <w:tc>
          <w:tcPr>
            <w:tcW w:w="5880" w:type="dxa"/>
            <w:vAlign w:val="bottom"/>
          </w:tcPr>
          <w:p>
            <w:pPr>
              <w:spacing w:after="0"/>
              <w:rPr>
                <w:sz w:val="13"/>
                <w:szCs w:val="13"/>
                <w:color w:val="auto"/>
              </w:rPr>
            </w:pPr>
          </w:p>
        </w:tc>
      </w:tr>
      <w:tr>
        <w:trPr>
          <w:trHeight w:val="20"/>
        </w:trPr>
        <w:tc>
          <w:tcPr>
            <w:tcW w:w="2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r>
      <w:tr>
        <w:trPr>
          <w:trHeight w:val="192"/>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780" w:type="dxa"/>
            <w:vAlign w:val="bottom"/>
          </w:tcPr>
          <w:p>
            <w:pPr>
              <w:spacing w:after="0"/>
              <w:rPr>
                <w:sz w:val="16"/>
                <w:szCs w:val="16"/>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r>
      <w:tr>
        <w:trPr>
          <w:trHeight w:val="978"/>
        </w:trPr>
        <w:tc>
          <w:tcPr>
            <w:tcW w:w="27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Anterix Inc.</w:t>
            </w:r>
          </w:p>
        </w:tc>
      </w:tr>
      <w:tr>
        <w:trPr>
          <w:trHeight w:val="35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 April 6, 2026</w:t>
            </w: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 Gena L. Ashe</w:t>
            </w:r>
          </w:p>
        </w:tc>
        <w:tc>
          <w:tcPr>
            <w:tcW w:w="1560" w:type="dxa"/>
            <w:vAlign w:val="bottom"/>
          </w:tcPr>
          <w:p>
            <w:pPr>
              <w:spacing w:after="0"/>
              <w:rPr>
                <w:sz w:val="24"/>
                <w:szCs w:val="24"/>
                <w:color w:val="auto"/>
              </w:rPr>
            </w:pPr>
          </w:p>
        </w:tc>
      </w:tr>
      <w:tr>
        <w:trPr>
          <w:trHeight w:val="202"/>
        </w:trPr>
        <w:tc>
          <w:tcPr>
            <w:tcW w:w="480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Gena L. Ashe</w:t>
            </w:r>
          </w:p>
        </w:tc>
      </w:tr>
      <w:tr>
        <w:trPr>
          <w:trHeight w:val="191"/>
        </w:trPr>
        <w:tc>
          <w:tcPr>
            <w:tcW w:w="480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Chief Legal Officer and Corporate Secretary</w:t>
            </w:r>
          </w:p>
        </w:tc>
      </w:tr>
      <w:tr>
        <w:trPr>
          <w:trHeight w:val="244"/>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ectPr>
          <w:pgSz w:w="11900" w:h="16838" w:orient="portrait"/>
          <w:cols w:equalWidth="0" w:num="1">
            <w:col w:w="10380"/>
          </w:cols>
          <w:pgMar w:left="300" w:top="823" w:right="1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2026-04-06T06:33:23Z</dcterms:created>
  <dcterms:modified xsi:type="dcterms:W3CDTF">2026-04-06T06:33:23Z</dcterms:modified>
</cp:coreProperties>
</file>