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41932.xml.htm"/>
      <w:bookmarkStart w:id="1" w:name="kswkform4_17861419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Heard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HEARD CAPITAL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N. WACKER DRIVE, SUITE 3650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Anterix Inc.</w:t>
              </w:r>
            </w:hyperlink>
            <w:r>
              <w:rPr/>
              <w:t xml:space="preserve"> [ </w:t>
            </w:r>
            <w:r>
              <w:rPr>
                <w:rFonts w:ascii="Times;serif" w:hAnsi="Times;serif"/>
                <w:color w:val="0000FF"/>
                <w:sz w:val="24"/>
                <w:shd w:fill="FFFFFF" w:val="clear"/>
              </w:rPr>
              <w:t>ATEX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12/29/2025</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8"/>
        <w:gridCol w:w="901"/>
        <w:gridCol w:w="771"/>
        <w:gridCol w:w="598"/>
        <w:gridCol w:w="347"/>
        <w:gridCol w:w="843"/>
        <w:gridCol w:w="452"/>
        <w:gridCol w:w="614"/>
        <w:gridCol w:w="1275"/>
        <w:gridCol w:w="994"/>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12/29/2025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1,887</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9,365</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1,716,738</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Heard Capital LLC</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charitable donation of shares to a Donor Advised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by certain investment funds and/or accounts for which Heard Capital LLC serves as investment manager. The Reporting Person is the ultimate beneficial owner of Heard Capital LLC. Each of Heard Capital LLC and the Reporting Person disclaims beneficial ownership of the securities to which this filing relates for purposes of Section 16 of the Securities and Exchange Act of 1934, as amended, except to the extent of his or its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Gena L. Ashe,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5875" TargetMode="External"/><Relationship Id="rId5" Type="http://schemas.openxmlformats.org/officeDocument/2006/relationships/hyperlink" Target="http://www.sec.gov/cgi-bin/browse-edgar?action=getcompany&amp;CIK=00013044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671</Words>
  <Characters>3609</Characters>
  <CharactersWithSpaces>4207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